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ascii="Times New Roman" w:hAnsi="Times New Roman" w:eastAsia="黑体"/>
          <w:sz w:val="32"/>
          <w:szCs w:val="32"/>
        </w:rPr>
      </w:pPr>
      <w:r>
        <w:rPr>
          <w:rFonts w:ascii="Times New Roman" w:hAnsi="Times New Roman" w:eastAsia="黑体"/>
          <w:sz w:val="32"/>
          <w:szCs w:val="32"/>
        </w:rPr>
        <w:t>明查表</w:t>
      </w:r>
      <w:r>
        <w:rPr>
          <w:rFonts w:hint="eastAsia" w:ascii="Times New Roman" w:hAnsi="Times New Roman" w:eastAsia="黑体"/>
          <w:sz w:val="32"/>
          <w:szCs w:val="32"/>
          <w:lang w:val="en-US" w:eastAsia="zh-CN"/>
        </w:rPr>
        <w:t>9</w:t>
      </w:r>
    </w:p>
    <w:p>
      <w:pPr>
        <w:spacing w:before="159" w:beforeLines="50" w:line="600" w:lineRule="exact"/>
        <w:jc w:val="center"/>
        <w:rPr>
          <w:rFonts w:hint="default" w:ascii="Times New Roman" w:hAnsi="Times New Roman" w:eastAsia="方正小标宋简体"/>
          <w:color w:val="auto"/>
          <w:sz w:val="36"/>
          <w:szCs w:val="36"/>
          <w:lang w:val="en-US" w:eastAsia="zh-CN"/>
        </w:rPr>
      </w:pPr>
      <w:bookmarkStart w:id="0" w:name="_GoBack"/>
      <w:r>
        <w:rPr>
          <w:rFonts w:ascii="Times New Roman" w:hAnsi="Times New Roman" w:eastAsia="方正小标宋简体"/>
          <w:color w:val="auto"/>
          <w:sz w:val="36"/>
          <w:szCs w:val="36"/>
        </w:rPr>
        <w:t>食品小作坊</w:t>
      </w:r>
      <w:r>
        <w:rPr>
          <w:rFonts w:hint="eastAsia" w:ascii="Times New Roman" w:hAnsi="Times New Roman" w:eastAsia="方正小标宋简体"/>
          <w:color w:val="auto"/>
          <w:sz w:val="36"/>
          <w:szCs w:val="36"/>
          <w:lang w:val="en-US" w:eastAsia="zh-CN"/>
        </w:rPr>
        <w:t>明查打分表</w:t>
      </w:r>
    </w:p>
    <w:bookmarkEnd w:id="0"/>
    <w:p>
      <w:pPr>
        <w:ind w:firstLine="240" w:firstLineChars="100"/>
        <w:rPr>
          <w:rFonts w:hint="eastAsia" w:ascii="黑体" w:hAnsi="黑体" w:eastAsia="黑体" w:cs="黑体"/>
          <w:color w:val="auto"/>
          <w:sz w:val="24"/>
          <w:szCs w:val="24"/>
          <w:lang w:val="en-US" w:eastAsia="zh-CN"/>
        </w:rPr>
      </w:pPr>
    </w:p>
    <w:p>
      <w:pPr>
        <w:ind w:firstLine="240" w:firstLineChars="100"/>
        <w:rPr>
          <w:rFonts w:hint="eastAsia" w:ascii="黑体" w:hAnsi="黑体" w:eastAsia="黑体" w:cs="黑体"/>
          <w:color w:val="auto"/>
          <w:sz w:val="24"/>
          <w:szCs w:val="24"/>
          <w:lang w:val="en-US" w:eastAsia="zh-CN"/>
        </w:rPr>
      </w:pPr>
      <w:r>
        <w:rPr>
          <w:rFonts w:hint="eastAsia" w:ascii="黑体" w:hAnsi="黑体" w:eastAsia="黑体" w:cs="黑体"/>
          <w:color w:val="auto"/>
          <w:sz w:val="24"/>
          <w:szCs w:val="24"/>
          <w:lang w:val="en-US" w:eastAsia="zh-CN"/>
        </w:rPr>
        <w:t>业态类型：食品小作坊                          单位名称（与许可一致）：                        所属街道：</w:t>
      </w:r>
    </w:p>
    <w:tbl>
      <w:tblPr>
        <w:tblStyle w:val="13"/>
        <w:tblW w:w="136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1700"/>
        <w:gridCol w:w="2267"/>
        <w:gridCol w:w="1134"/>
        <w:gridCol w:w="84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tblHeader/>
          <w:jc w:val="center"/>
        </w:trPr>
        <w:tc>
          <w:tcPr>
            <w:tcW w:w="1701" w:type="dxa"/>
            <w:shd w:val="clear" w:color="auto" w:fill="auto"/>
            <w:vAlign w:val="center"/>
          </w:tcPr>
          <w:p>
            <w:pPr>
              <w:keepNext w:val="0"/>
              <w:keepLines w:val="0"/>
              <w:widowControl/>
              <w:suppressLineNumbers w:val="0"/>
              <w:jc w:val="center"/>
              <w:textAlignment w:val="center"/>
              <w:rPr>
                <w:rFonts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评价要点</w:t>
            </w:r>
          </w:p>
        </w:tc>
        <w:tc>
          <w:tcPr>
            <w:tcW w:w="2268" w:type="dxa"/>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辽宁省评价标准</w:t>
            </w:r>
          </w:p>
        </w:tc>
        <w:tc>
          <w:tcPr>
            <w:tcW w:w="1134" w:type="dxa"/>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序号</w:t>
            </w:r>
          </w:p>
        </w:tc>
        <w:tc>
          <w:tcPr>
            <w:tcW w:w="8504" w:type="dxa"/>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检查要点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vMerge w:val="restar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7.</w:t>
            </w:r>
            <w:r>
              <w:rPr>
                <w:rFonts w:ascii="仿宋_GB2312" w:hAnsi="Times New Roman" w:eastAsia="仿宋_GB2312" w:cs="仿宋_GB2312"/>
                <w:i w:val="0"/>
                <w:iCs w:val="0"/>
                <w:color w:val="000000"/>
                <w:kern w:val="0"/>
                <w:sz w:val="24"/>
                <w:szCs w:val="24"/>
                <w:u w:val="none"/>
                <w:lang w:val="en-US" w:eastAsia="zh-CN" w:bidi="ar"/>
              </w:rPr>
              <w:t>过程监管</w:t>
            </w:r>
          </w:p>
        </w:tc>
        <w:tc>
          <w:tcPr>
            <w:tcW w:w="226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26</w:t>
            </w:r>
            <w:r>
              <w:rPr>
                <w:rFonts w:ascii="仿宋_GB2312" w:hAnsi="Times New Roman"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w:t>
            </w:r>
          </w:p>
        </w:tc>
        <w:tc>
          <w:tcPr>
            <w:tcW w:w="8504"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现场发现野生动物、食品浪费现象，扣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26</w:t>
            </w:r>
            <w:r>
              <w:rPr>
                <w:rFonts w:ascii="仿宋_GB2312" w:hAnsi="Times New Roman"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w:t>
            </w:r>
          </w:p>
        </w:tc>
        <w:tc>
          <w:tcPr>
            <w:tcW w:w="8504"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现场未见</w:t>
            </w:r>
            <w:r>
              <w:rPr>
                <w:rFonts w:hint="default" w:ascii="Times New Roman" w:hAnsi="Times New Roman" w:eastAsia="宋体" w:cs="Times New Roman"/>
                <w:i w:val="0"/>
                <w:iCs w:val="0"/>
                <w:color w:val="000000"/>
                <w:kern w:val="0"/>
                <w:sz w:val="24"/>
                <w:szCs w:val="24"/>
                <w:u w:val="none"/>
                <w:lang w:val="en-US" w:eastAsia="zh-CN" w:bidi="ar"/>
              </w:rPr>
              <w:t>“</w:t>
            </w:r>
            <w:r>
              <w:rPr>
                <w:rFonts w:ascii="仿宋_GB2312" w:hAnsi="Times New Roman" w:eastAsia="仿宋_GB2312" w:cs="仿宋_GB2312"/>
                <w:i w:val="0"/>
                <w:iCs w:val="0"/>
                <w:color w:val="000000"/>
                <w:kern w:val="0"/>
                <w:sz w:val="24"/>
                <w:szCs w:val="24"/>
                <w:u w:val="none"/>
                <w:lang w:val="en-US" w:eastAsia="zh-CN" w:bidi="ar"/>
              </w:rPr>
              <w:t>反食品浪费</w:t>
            </w:r>
            <w:r>
              <w:rPr>
                <w:rFonts w:hint="default" w:ascii="Times New Roman" w:hAnsi="Times New Roman" w:eastAsia="宋体" w:cs="Times New Roman"/>
                <w:i w:val="0"/>
                <w:iCs w:val="0"/>
                <w:color w:val="000000"/>
                <w:kern w:val="0"/>
                <w:sz w:val="24"/>
                <w:szCs w:val="24"/>
                <w:u w:val="none"/>
                <w:lang w:val="en-US" w:eastAsia="zh-CN" w:bidi="ar"/>
              </w:rPr>
              <w:t>”</w:t>
            </w:r>
            <w:r>
              <w:rPr>
                <w:rFonts w:ascii="仿宋_GB2312" w:hAnsi="Times New Roman" w:eastAsia="仿宋_GB2312" w:cs="仿宋_GB2312"/>
                <w:i w:val="0"/>
                <w:iCs w:val="0"/>
                <w:color w:val="000000"/>
                <w:kern w:val="0"/>
                <w:sz w:val="24"/>
                <w:szCs w:val="24"/>
                <w:u w:val="none"/>
                <w:lang w:val="en-US" w:eastAsia="zh-CN" w:bidi="ar"/>
              </w:rPr>
              <w:t>相关字样的宣传，扣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10.</w:t>
            </w:r>
            <w:r>
              <w:rPr>
                <w:rFonts w:ascii="仿宋_GB2312" w:hAnsi="Times New Roman" w:eastAsia="仿宋_GB2312" w:cs="仿宋_GB2312"/>
                <w:i w:val="0"/>
                <w:iCs w:val="0"/>
                <w:color w:val="000000"/>
                <w:kern w:val="0"/>
                <w:sz w:val="24"/>
                <w:szCs w:val="24"/>
                <w:u w:val="none"/>
                <w:lang w:val="en-US" w:eastAsia="zh-CN" w:bidi="ar"/>
              </w:rPr>
              <w:t>集中整治</w:t>
            </w:r>
          </w:p>
        </w:tc>
        <w:tc>
          <w:tcPr>
            <w:tcW w:w="226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34</w:t>
            </w:r>
            <w:r>
              <w:rPr>
                <w:rFonts w:ascii="仿宋_GB2312" w:hAnsi="Times New Roman"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3</w:t>
            </w:r>
          </w:p>
        </w:tc>
        <w:tc>
          <w:tcPr>
            <w:tcW w:w="8504"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现场发现非法添加行为，扣</w:t>
            </w:r>
            <w:r>
              <w:rPr>
                <w:rFonts w:hint="default" w:ascii="Times New Roman" w:hAnsi="Times New Roman" w:eastAsia="宋体" w:cs="Times New Roman"/>
                <w:i w:val="0"/>
                <w:iCs w:val="0"/>
                <w:color w:val="000000"/>
                <w:kern w:val="0"/>
                <w:sz w:val="24"/>
                <w:szCs w:val="24"/>
                <w:u w:val="none"/>
                <w:lang w:val="en-US" w:eastAsia="zh-CN" w:bidi="ar"/>
              </w:rPr>
              <w:t>0.5</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11.</w:t>
            </w:r>
            <w:r>
              <w:rPr>
                <w:rFonts w:ascii="仿宋_GB2312" w:hAnsi="Times New Roman" w:eastAsia="仿宋_GB2312" w:cs="仿宋_GB2312"/>
                <w:i w:val="0"/>
                <w:iCs w:val="0"/>
                <w:color w:val="000000"/>
                <w:kern w:val="0"/>
                <w:sz w:val="24"/>
                <w:szCs w:val="24"/>
                <w:u w:val="none"/>
                <w:lang w:val="en-US" w:eastAsia="zh-CN" w:bidi="ar"/>
              </w:rPr>
              <w:t>社会共治</w:t>
            </w:r>
          </w:p>
        </w:tc>
        <w:tc>
          <w:tcPr>
            <w:tcW w:w="226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37</w:t>
            </w:r>
            <w:r>
              <w:rPr>
                <w:rFonts w:ascii="仿宋_GB2312" w:hAnsi="Times New Roman"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4</w:t>
            </w:r>
          </w:p>
        </w:tc>
        <w:tc>
          <w:tcPr>
            <w:tcW w:w="8504"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未开展食品安全宣传教育，扣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vMerge w:val="restar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19.</w:t>
            </w:r>
            <w:r>
              <w:rPr>
                <w:rFonts w:ascii="仿宋_GB2312" w:hAnsi="Times New Roman" w:eastAsia="仿宋_GB2312" w:cs="仿宋_GB2312"/>
                <w:i w:val="0"/>
                <w:iCs w:val="0"/>
                <w:color w:val="000000"/>
                <w:kern w:val="0"/>
                <w:sz w:val="24"/>
                <w:szCs w:val="24"/>
                <w:u w:val="none"/>
                <w:lang w:val="en-US" w:eastAsia="zh-CN" w:bidi="ar"/>
              </w:rPr>
              <w:t>管理责任</w:t>
            </w:r>
          </w:p>
        </w:tc>
        <w:tc>
          <w:tcPr>
            <w:tcW w:w="226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4"/>
                <w:szCs w:val="24"/>
                <w:u w:val="none"/>
                <w:lang w:val="en-US" w:eastAsia="zh-CN" w:bidi="ar"/>
              </w:rPr>
              <w:t>53</w:t>
            </w:r>
            <w:r>
              <w:rPr>
                <w:rFonts w:ascii="仿宋_GB2312" w:hAnsi="宋体"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5</w:t>
            </w:r>
          </w:p>
        </w:tc>
        <w:tc>
          <w:tcPr>
            <w:tcW w:w="8504" w:type="dxa"/>
            <w:shd w:val="clear" w:color="auto" w:fill="auto"/>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未在厂区外部显著位置明示其生产厂点的法定名称或者规范性简称的，扣0.1分。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4"/>
                <w:szCs w:val="24"/>
                <w:u w:val="none"/>
                <w:lang w:val="en-US" w:eastAsia="zh-CN" w:bidi="ar"/>
              </w:rPr>
              <w:t>53</w:t>
            </w:r>
            <w:r>
              <w:rPr>
                <w:rFonts w:ascii="仿宋_GB2312" w:hAnsi="宋体"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6</w:t>
            </w:r>
          </w:p>
        </w:tc>
        <w:tc>
          <w:tcPr>
            <w:tcW w:w="8504" w:type="dxa"/>
            <w:shd w:val="clear" w:color="auto" w:fill="auto"/>
            <w:vAlign w:val="center"/>
          </w:tcPr>
          <w:p>
            <w:pPr>
              <w:keepNext w:val="0"/>
              <w:keepLines w:val="0"/>
              <w:widowControl/>
              <w:suppressLineNumbers w:val="0"/>
              <w:tabs>
                <w:tab w:val="left" w:pos="1050"/>
              </w:tabs>
              <w:jc w:val="left"/>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现场信息公示不完整的，扣0.1分。</w:t>
            </w:r>
            <w:r>
              <w:rPr>
                <w:rFonts w:hint="default" w:ascii="Times New Roman" w:hAnsi="Times New Roman" w:eastAsia="仿宋_GB2312" w:cs="Times New Roman"/>
                <w:i w:val="0"/>
                <w:iCs w:val="0"/>
                <w:color w:val="000000"/>
                <w:kern w:val="0"/>
                <w:sz w:val="24"/>
                <w:szCs w:val="24"/>
                <w:u w:val="none"/>
                <w:lang w:val="en-US" w:eastAsia="zh-CN" w:bidi="ar"/>
              </w:rPr>
              <w:br w:type="textWrapping"/>
            </w:r>
            <w:r>
              <w:rPr>
                <w:rFonts w:hint="default" w:ascii="Times New Roman" w:hAnsi="Times New Roman" w:eastAsia="仿宋_GB2312" w:cs="Times New Roman"/>
                <w:i w:val="0"/>
                <w:iCs w:val="0"/>
                <w:color w:val="000000"/>
                <w:kern w:val="0"/>
                <w:sz w:val="24"/>
                <w:szCs w:val="24"/>
                <w:u w:val="none"/>
                <w:lang w:val="en-US" w:eastAsia="zh-CN" w:bidi="ar"/>
              </w:rPr>
              <w:t>现场应公示：（1）《营业执照》（2）《食品生产加工小作坊许可证》（3）日常监督检查结果记录表（4）食品安全承诺书（5）使用的食品添加剂目录（6）从事接触直接入口食品生产加工人员健康证明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4"/>
                <w:szCs w:val="24"/>
                <w:u w:val="none"/>
                <w:lang w:val="en-US" w:eastAsia="zh-CN" w:bidi="ar"/>
              </w:rPr>
              <w:t>53</w:t>
            </w:r>
            <w:r>
              <w:rPr>
                <w:rFonts w:ascii="仿宋_GB2312" w:hAnsi="宋体"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7</w:t>
            </w:r>
          </w:p>
        </w:tc>
        <w:tc>
          <w:tcPr>
            <w:tcW w:w="8504"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现场未留存办理《食品生产加工小作坊许可证》登记建档的相关材料，扣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4"/>
                <w:szCs w:val="24"/>
                <w:u w:val="none"/>
                <w:lang w:val="en-US" w:eastAsia="zh-CN" w:bidi="ar"/>
              </w:rPr>
              <w:t>53</w:t>
            </w:r>
            <w:r>
              <w:rPr>
                <w:rFonts w:ascii="仿宋_GB2312" w:hAnsi="宋体"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8</w:t>
            </w:r>
          </w:p>
        </w:tc>
        <w:tc>
          <w:tcPr>
            <w:tcW w:w="8504"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现场发现加工的食品有超许可范围生产情况，扣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701" w:type="dxa"/>
            <w:vMerge w:val="restar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20.</w:t>
            </w:r>
            <w:r>
              <w:rPr>
                <w:rFonts w:ascii="仿宋_GB2312" w:hAnsi="Times New Roman" w:eastAsia="仿宋_GB2312" w:cs="仿宋_GB2312"/>
                <w:i w:val="0"/>
                <w:iCs w:val="0"/>
                <w:color w:val="000000"/>
                <w:kern w:val="0"/>
                <w:sz w:val="24"/>
                <w:szCs w:val="24"/>
                <w:u w:val="none"/>
                <w:lang w:val="en-US" w:eastAsia="zh-CN" w:bidi="ar"/>
              </w:rPr>
              <w:t>过程控制</w:t>
            </w:r>
          </w:p>
        </w:tc>
        <w:tc>
          <w:tcPr>
            <w:tcW w:w="226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4"/>
                <w:szCs w:val="24"/>
                <w:u w:val="none"/>
                <w:lang w:val="en-US" w:eastAsia="zh-CN" w:bidi="ar"/>
              </w:rPr>
              <w:t>54</w:t>
            </w:r>
            <w:r>
              <w:rPr>
                <w:rFonts w:ascii="仿宋_GB2312" w:hAnsi="宋体"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9</w:t>
            </w:r>
          </w:p>
        </w:tc>
        <w:tc>
          <w:tcPr>
            <w:tcW w:w="8504"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接触直接入口食品的从业人员未持有效的健康证明上岗，扣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701"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4"/>
                <w:szCs w:val="24"/>
                <w:u w:val="none"/>
                <w:lang w:val="en-US" w:eastAsia="zh-CN" w:bidi="ar"/>
              </w:rPr>
              <w:t>54</w:t>
            </w:r>
            <w:r>
              <w:rPr>
                <w:rFonts w:ascii="仿宋_GB2312" w:hAnsi="宋体"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10</w:t>
            </w:r>
          </w:p>
        </w:tc>
        <w:tc>
          <w:tcPr>
            <w:tcW w:w="8504" w:type="dxa"/>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ascii="仿宋_GB2312" w:hAnsi="宋体" w:eastAsia="仿宋_GB2312" w:cs="仿宋_GB2312"/>
                <w:i w:val="0"/>
                <w:iCs w:val="0"/>
                <w:color w:val="000000"/>
                <w:kern w:val="0"/>
                <w:sz w:val="24"/>
                <w:szCs w:val="24"/>
                <w:u w:val="none"/>
                <w:lang w:val="en-US" w:eastAsia="zh-CN" w:bidi="ar"/>
              </w:rPr>
              <w:t>主要原材料未履行进货查验义务，或索证索票不全，扣</w:t>
            </w:r>
            <w:r>
              <w:rPr>
                <w:rFonts w:hint="default" w:ascii="Times New Roman" w:hAnsi="Times New Roman" w:eastAsia="仿宋_GB2312" w:cs="Times New Roman"/>
                <w:i w:val="0"/>
                <w:iCs w:val="0"/>
                <w:color w:val="000000"/>
                <w:kern w:val="0"/>
                <w:sz w:val="24"/>
                <w:szCs w:val="24"/>
                <w:u w:val="none"/>
                <w:lang w:val="en-US" w:eastAsia="zh-CN" w:bidi="ar"/>
              </w:rPr>
              <w:t>0.1</w:t>
            </w:r>
            <w:r>
              <w:rPr>
                <w:rFonts w:ascii="仿宋_GB2312" w:hAnsi="宋体"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701"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4"/>
                <w:szCs w:val="24"/>
                <w:u w:val="none"/>
                <w:lang w:val="en-US" w:eastAsia="zh-CN" w:bidi="ar"/>
              </w:rPr>
              <w:t>54</w:t>
            </w:r>
            <w:r>
              <w:rPr>
                <w:rFonts w:ascii="仿宋_GB2312" w:hAnsi="宋体"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11</w:t>
            </w:r>
          </w:p>
        </w:tc>
        <w:tc>
          <w:tcPr>
            <w:tcW w:w="8504"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eastAsia" w:ascii="仿宋_GB2312" w:hAnsi="Times New Roman" w:eastAsia="仿宋_GB2312" w:cs="仿宋_GB2312"/>
                <w:i w:val="0"/>
                <w:iCs w:val="0"/>
                <w:color w:val="000000"/>
                <w:kern w:val="0"/>
                <w:sz w:val="24"/>
                <w:szCs w:val="24"/>
                <w:u w:val="none"/>
                <w:lang w:val="en-US" w:eastAsia="zh-CN" w:bidi="ar"/>
              </w:rPr>
              <w:t>食品添加剂未专柜存放、专册记录、专用量具、未明示</w:t>
            </w:r>
            <w:r>
              <w:rPr>
                <w:rFonts w:hint="default" w:ascii="Times New Roman" w:hAnsi="Times New Roman" w:eastAsia="宋体" w:cs="Times New Roman"/>
                <w:i w:val="0"/>
                <w:iCs w:val="0"/>
                <w:color w:val="000000"/>
                <w:kern w:val="0"/>
                <w:sz w:val="24"/>
                <w:szCs w:val="24"/>
                <w:u w:val="none"/>
                <w:lang w:val="en-US" w:eastAsia="zh-CN" w:bidi="ar"/>
              </w:rPr>
              <w:t>“</w:t>
            </w:r>
            <w:r>
              <w:rPr>
                <w:rFonts w:hint="eastAsia" w:ascii="仿宋_GB2312" w:hAnsi="Times New Roman" w:eastAsia="仿宋_GB2312" w:cs="仿宋_GB2312"/>
                <w:i w:val="0"/>
                <w:iCs w:val="0"/>
                <w:color w:val="000000"/>
                <w:kern w:val="0"/>
                <w:sz w:val="24"/>
                <w:szCs w:val="24"/>
                <w:u w:val="none"/>
                <w:lang w:val="en-US" w:eastAsia="zh-CN" w:bidi="ar"/>
              </w:rPr>
              <w:t>食品添加剂</w:t>
            </w:r>
            <w:r>
              <w:rPr>
                <w:rFonts w:hint="default" w:ascii="Times New Roman" w:hAnsi="Times New Roman" w:eastAsia="宋体" w:cs="Times New Roman"/>
                <w:i w:val="0"/>
                <w:iCs w:val="0"/>
                <w:color w:val="000000"/>
                <w:kern w:val="0"/>
                <w:sz w:val="24"/>
                <w:szCs w:val="24"/>
                <w:u w:val="none"/>
                <w:lang w:val="en-US" w:eastAsia="zh-CN" w:bidi="ar"/>
              </w:rPr>
              <w:t>”</w:t>
            </w:r>
            <w:r>
              <w:rPr>
                <w:rFonts w:hint="eastAsia" w:ascii="仿宋_GB2312" w:hAnsi="Times New Roman" w:eastAsia="仿宋_GB2312" w:cs="仿宋_GB2312"/>
                <w:i w:val="0"/>
                <w:iCs w:val="0"/>
                <w:color w:val="000000"/>
                <w:kern w:val="0"/>
                <w:sz w:val="24"/>
                <w:szCs w:val="24"/>
                <w:u w:val="none"/>
                <w:lang w:val="en-US" w:eastAsia="zh-CN" w:bidi="ar"/>
              </w:rPr>
              <w:t>字样，扣</w:t>
            </w:r>
            <w:r>
              <w:rPr>
                <w:rFonts w:hint="default" w:ascii="Times New Roman" w:hAnsi="Times New Roman" w:eastAsia="宋体" w:cs="Times New Roman"/>
                <w:i w:val="0"/>
                <w:iCs w:val="0"/>
                <w:color w:val="000000"/>
                <w:kern w:val="0"/>
                <w:sz w:val="24"/>
                <w:szCs w:val="24"/>
                <w:u w:val="none"/>
                <w:lang w:val="en-US" w:eastAsia="zh-CN" w:bidi="ar"/>
              </w:rPr>
              <w:t>0.1</w:t>
            </w:r>
            <w:r>
              <w:rPr>
                <w:rFonts w:hint="eastAsia"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701"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4"/>
                <w:szCs w:val="24"/>
                <w:u w:val="none"/>
                <w:lang w:val="en-US" w:eastAsia="zh-CN" w:bidi="ar"/>
              </w:rPr>
              <w:t>54</w:t>
            </w:r>
            <w:r>
              <w:rPr>
                <w:rFonts w:ascii="仿宋_GB2312" w:hAnsi="宋体"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12</w:t>
            </w:r>
          </w:p>
        </w:tc>
        <w:tc>
          <w:tcPr>
            <w:tcW w:w="8504" w:type="dxa"/>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ascii="仿宋_GB2312" w:hAnsi="宋体" w:eastAsia="仿宋_GB2312" w:cs="仿宋_GB2312"/>
                <w:i w:val="0"/>
                <w:iCs w:val="0"/>
                <w:color w:val="000000"/>
                <w:kern w:val="0"/>
                <w:sz w:val="24"/>
                <w:szCs w:val="24"/>
                <w:u w:val="none"/>
                <w:lang w:val="en-US" w:eastAsia="zh-CN" w:bidi="ar"/>
              </w:rPr>
              <w:t>存在食品添加剂使用超范围超限量的行为，扣</w:t>
            </w:r>
            <w:r>
              <w:rPr>
                <w:rFonts w:hint="default" w:ascii="Times New Roman" w:hAnsi="Times New Roman" w:eastAsia="仿宋_GB2312" w:cs="Times New Roman"/>
                <w:i w:val="0"/>
                <w:iCs w:val="0"/>
                <w:color w:val="000000"/>
                <w:kern w:val="0"/>
                <w:sz w:val="24"/>
                <w:szCs w:val="24"/>
                <w:u w:val="none"/>
                <w:lang w:val="en-US" w:eastAsia="zh-CN" w:bidi="ar"/>
              </w:rPr>
              <w:t>0.1</w:t>
            </w:r>
            <w:r>
              <w:rPr>
                <w:rFonts w:ascii="仿宋_GB2312" w:hAnsi="宋体"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4"/>
                <w:szCs w:val="24"/>
                <w:u w:val="none"/>
                <w:lang w:val="en-US" w:eastAsia="zh-CN" w:bidi="ar"/>
              </w:rPr>
              <w:t>54</w:t>
            </w:r>
            <w:r>
              <w:rPr>
                <w:rFonts w:ascii="仿宋_GB2312" w:hAnsi="宋体"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13</w:t>
            </w:r>
          </w:p>
        </w:tc>
        <w:tc>
          <w:tcPr>
            <w:tcW w:w="8504"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发现有使用或者贮存腐败变质、过期原辅料或不明物质的情况，扣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4"/>
                <w:szCs w:val="24"/>
                <w:u w:val="none"/>
                <w:lang w:val="en-US" w:eastAsia="zh-CN" w:bidi="ar"/>
              </w:rPr>
              <w:t>54</w:t>
            </w:r>
            <w:r>
              <w:rPr>
                <w:rFonts w:ascii="仿宋_GB2312" w:hAnsi="宋体"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14</w:t>
            </w:r>
          </w:p>
        </w:tc>
        <w:tc>
          <w:tcPr>
            <w:tcW w:w="8504"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生产加工场所入口处未设置洗手及烘干设施、更衣、消毒设施的，扣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701"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4"/>
                <w:szCs w:val="24"/>
                <w:u w:val="none"/>
                <w:lang w:val="en-US" w:eastAsia="zh-CN" w:bidi="ar"/>
              </w:rPr>
              <w:t>54</w:t>
            </w:r>
            <w:r>
              <w:rPr>
                <w:rFonts w:ascii="仿宋_GB2312" w:hAnsi="宋体"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15</w:t>
            </w:r>
          </w:p>
        </w:tc>
        <w:tc>
          <w:tcPr>
            <w:tcW w:w="8504"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洗手、更衣、消毒设施未能有效发挥作用的，扣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4"/>
                <w:szCs w:val="24"/>
                <w:u w:val="none"/>
                <w:lang w:val="en-US" w:eastAsia="zh-CN" w:bidi="ar"/>
              </w:rPr>
              <w:t>54</w:t>
            </w:r>
            <w:r>
              <w:rPr>
                <w:rFonts w:ascii="仿宋_GB2312" w:hAnsi="宋体"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16</w:t>
            </w:r>
          </w:p>
        </w:tc>
        <w:tc>
          <w:tcPr>
            <w:tcW w:w="8504" w:type="dxa"/>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ascii="仿宋_GB2312" w:hAnsi="宋体" w:eastAsia="仿宋_GB2312" w:cs="仿宋_GB2312"/>
                <w:i w:val="0"/>
                <w:iCs w:val="0"/>
                <w:color w:val="000000"/>
                <w:kern w:val="0"/>
                <w:sz w:val="24"/>
                <w:szCs w:val="24"/>
                <w:u w:val="none"/>
                <w:lang w:val="en-US" w:eastAsia="zh-CN" w:bidi="ar"/>
              </w:rPr>
              <w:t>场所布局、设施设备不满足加工要求，扣</w:t>
            </w:r>
            <w:r>
              <w:rPr>
                <w:rFonts w:hint="default" w:ascii="Times New Roman" w:hAnsi="Times New Roman" w:eastAsia="仿宋_GB2312" w:cs="Times New Roman"/>
                <w:i w:val="0"/>
                <w:iCs w:val="0"/>
                <w:color w:val="000000"/>
                <w:kern w:val="0"/>
                <w:sz w:val="24"/>
                <w:szCs w:val="24"/>
                <w:u w:val="none"/>
                <w:lang w:val="en-US" w:eastAsia="zh-CN" w:bidi="ar"/>
              </w:rPr>
              <w:t>0.1</w:t>
            </w:r>
            <w:r>
              <w:rPr>
                <w:rFonts w:ascii="仿宋_GB2312" w:hAnsi="宋体"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4"/>
                <w:szCs w:val="24"/>
                <w:u w:val="none"/>
                <w:lang w:val="en-US" w:eastAsia="zh-CN" w:bidi="ar"/>
              </w:rPr>
              <w:t>54</w:t>
            </w:r>
            <w:r>
              <w:rPr>
                <w:rFonts w:ascii="仿宋_GB2312" w:hAnsi="宋体"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17</w:t>
            </w:r>
          </w:p>
        </w:tc>
        <w:tc>
          <w:tcPr>
            <w:tcW w:w="8504"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现场发现严重的虫害迹象，如大量蟑螂、苍蝇及其尸体、老鼠或老鼠排泄物的，扣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4"/>
                <w:szCs w:val="24"/>
                <w:u w:val="none"/>
                <w:lang w:val="en-US" w:eastAsia="zh-CN" w:bidi="ar"/>
              </w:rPr>
              <w:t>54</w:t>
            </w:r>
            <w:r>
              <w:rPr>
                <w:rFonts w:ascii="仿宋_GB2312" w:hAnsi="宋体"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18</w:t>
            </w:r>
          </w:p>
        </w:tc>
        <w:tc>
          <w:tcPr>
            <w:tcW w:w="8504"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操作区域地面有大量积水，设备设施的清洁状况不满足食品加工的基本要求的，扣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4"/>
                <w:szCs w:val="24"/>
                <w:u w:val="none"/>
                <w:lang w:val="en-US" w:eastAsia="zh-CN" w:bidi="ar"/>
              </w:rPr>
              <w:t>54</w:t>
            </w:r>
            <w:r>
              <w:rPr>
                <w:rFonts w:ascii="仿宋_GB2312" w:hAnsi="宋体"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19</w:t>
            </w:r>
          </w:p>
        </w:tc>
        <w:tc>
          <w:tcPr>
            <w:tcW w:w="8504"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加工制作场所未距离粪坑、污水池、暴露垃圾场（站）、旱厕等污染源</w:t>
            </w:r>
            <w:r>
              <w:rPr>
                <w:rFonts w:hint="default" w:ascii="Times New Roman" w:hAnsi="Times New Roman" w:eastAsia="宋体" w:cs="Times New Roman"/>
                <w:i w:val="0"/>
                <w:iCs w:val="0"/>
                <w:color w:val="000000"/>
                <w:kern w:val="0"/>
                <w:sz w:val="24"/>
                <w:szCs w:val="24"/>
                <w:u w:val="none"/>
                <w:lang w:val="en-US" w:eastAsia="zh-CN" w:bidi="ar"/>
              </w:rPr>
              <w:t>25m</w:t>
            </w:r>
            <w:r>
              <w:rPr>
                <w:rFonts w:ascii="仿宋_GB2312" w:hAnsi="Times New Roman" w:eastAsia="仿宋_GB2312" w:cs="仿宋_GB2312"/>
                <w:i w:val="0"/>
                <w:iCs w:val="0"/>
                <w:color w:val="000000"/>
                <w:kern w:val="0"/>
                <w:sz w:val="24"/>
                <w:szCs w:val="24"/>
                <w:u w:val="none"/>
                <w:lang w:val="en-US" w:eastAsia="zh-CN" w:bidi="ar"/>
              </w:rPr>
              <w:t>以上，并位于粉尘、有害气体、放射性物质和其他扩散性污染源的影响范围内的，扣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bl>
    <w:p>
      <w:pPr>
        <w:spacing w:beforeLines="50" w:line="360" w:lineRule="exact"/>
        <w:jc w:val="left"/>
        <w:rPr>
          <w:rFonts w:ascii="Times New Roman" w:hAnsi="Times New Roman" w:eastAsia="楷体_GB2312"/>
          <w:sz w:val="28"/>
          <w:szCs w:val="28"/>
        </w:rPr>
      </w:pPr>
      <w:r>
        <w:rPr>
          <w:rFonts w:hint="eastAsia" w:ascii="Times New Roman" w:hAnsi="Times New Roman" w:eastAsia="楷体_GB2312"/>
          <w:sz w:val="28"/>
          <w:szCs w:val="28"/>
        </w:rPr>
        <w:t>注：</w:t>
      </w:r>
    </w:p>
    <w:p>
      <w:pPr>
        <w:spacing w:beforeLines="50" w:line="360" w:lineRule="exact"/>
        <w:jc w:val="left"/>
        <w:rPr>
          <w:rFonts w:ascii="Times New Roman" w:hAnsi="Times New Roman" w:eastAsia="楷体_GB2312"/>
          <w:sz w:val="28"/>
          <w:szCs w:val="28"/>
        </w:rPr>
      </w:pPr>
      <w:r>
        <w:rPr>
          <w:rFonts w:hint="eastAsia" w:ascii="Times New Roman" w:hAnsi="Times New Roman" w:eastAsia="楷体_GB2312"/>
          <w:sz w:val="28"/>
          <w:szCs w:val="28"/>
        </w:rPr>
        <w:t>1.根据《市场监管总局关于全面推进“双随机、一公开”监管工作的通知》，在发挥“双随机、一公开”监管日常性、基础性作用的同时，对涉及重点领域食品药品、产品质量安全和特种设备安全，未列入抽查事项清单的事项，按照现有方式严格监管。重点检查属于有因检查类型，根据抽检情况、舆情反映、投诉举报等线索，对相关食品经营者开展的有针对性的监督检查。其中，监督检查事项，具体包括以下工作：（1）要对属地食品生产企业进行食品安全风险分级，明确企业风险等级，一般风险指的是低风险；（2）根据风险分级情况合理确定监督检查频次、检查方式和检查要求；（3）监督检查实施主体根据各地监管事权划分确定。</w:t>
      </w:r>
    </w:p>
    <w:p>
      <w:pPr>
        <w:spacing w:beforeLines="50" w:line="360" w:lineRule="exact"/>
        <w:jc w:val="left"/>
        <w:rPr>
          <w:rFonts w:ascii="Times New Roman" w:hAnsi="Times New Roman" w:eastAsia="楷体_GB2312"/>
          <w:sz w:val="28"/>
          <w:szCs w:val="28"/>
        </w:rPr>
      </w:pPr>
      <w:r>
        <w:rPr>
          <w:rFonts w:hint="eastAsia" w:ascii="Times New Roman" w:hAnsi="Times New Roman" w:eastAsia="楷体_GB2312"/>
          <w:sz w:val="28"/>
          <w:szCs w:val="28"/>
        </w:rPr>
        <w:t>2.食品小作坊普查登记建档或备案工作，应按照《市场监管总局关于加强食品生产加工小作坊监管工作的指导意见》（国市监食生〔2020〕25号）要求落实。</w:t>
      </w:r>
    </w:p>
    <w:p>
      <w:pPr>
        <w:spacing w:beforeLines="50" w:line="360" w:lineRule="exact"/>
        <w:jc w:val="left"/>
      </w:pPr>
      <w:r>
        <w:rPr>
          <w:rFonts w:hint="eastAsia" w:ascii="Times New Roman" w:hAnsi="Times New Roman" w:eastAsia="楷体_GB2312"/>
          <w:sz w:val="28"/>
          <w:szCs w:val="28"/>
        </w:rPr>
        <w:t>3.“（5</w:t>
      </w:r>
      <w:r>
        <w:rPr>
          <w:rFonts w:hint="eastAsia" w:ascii="Times New Roman" w:hAnsi="Times New Roman" w:eastAsia="楷体_GB2312"/>
          <w:sz w:val="28"/>
          <w:szCs w:val="28"/>
          <w:lang w:val="en-US" w:eastAsia="zh-CN"/>
        </w:rPr>
        <w:t>4</w:t>
      </w:r>
      <w:r>
        <w:rPr>
          <w:rFonts w:hint="eastAsia" w:ascii="Times New Roman" w:hAnsi="Times New Roman" w:eastAsia="楷体_GB2312"/>
          <w:sz w:val="28"/>
          <w:szCs w:val="28"/>
        </w:rPr>
        <w:t>）食品生产经营者依法对食品安全责任落实情况、食品安全状况进行自评自查，主动监测其上市产品质量安全状况，对存在隐患及时采取风险控制措施”中，主动监测的措施包括但不限于：企业自行检验检测、委托第三方检验评价、消费者调查、消费者投诉等。</w:t>
      </w: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c2ZGZiNzZiNDVlOGViOWVmM2JhOTY0NGJkNjUyYzgifQ=="/>
  </w:docVars>
  <w:rsids>
    <w:rsidRoot w:val="5A8C25F7"/>
    <w:rsid w:val="01714809"/>
    <w:rsid w:val="081B5EF0"/>
    <w:rsid w:val="0AC85742"/>
    <w:rsid w:val="118A0FD0"/>
    <w:rsid w:val="184473D8"/>
    <w:rsid w:val="1BB10A7E"/>
    <w:rsid w:val="1EF34102"/>
    <w:rsid w:val="2CB50578"/>
    <w:rsid w:val="2CDA6E30"/>
    <w:rsid w:val="33E552A9"/>
    <w:rsid w:val="35F029FD"/>
    <w:rsid w:val="43067708"/>
    <w:rsid w:val="456926CF"/>
    <w:rsid w:val="4605452E"/>
    <w:rsid w:val="46E502D3"/>
    <w:rsid w:val="4F365D17"/>
    <w:rsid w:val="509251CF"/>
    <w:rsid w:val="50BD5D72"/>
    <w:rsid w:val="56811F6E"/>
    <w:rsid w:val="5A8C25F7"/>
    <w:rsid w:val="624B3430"/>
    <w:rsid w:val="67777244"/>
    <w:rsid w:val="689E5B40"/>
    <w:rsid w:val="69AB1B12"/>
    <w:rsid w:val="6AE23A6C"/>
    <w:rsid w:val="6BDB79E0"/>
    <w:rsid w:val="6D796B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4">
    <w:name w:val="heading 1"/>
    <w:basedOn w:val="1"/>
    <w:next w:val="1"/>
    <w:qFormat/>
    <w:uiPriority w:val="0"/>
    <w:pPr>
      <w:keepNext/>
      <w:keepLines/>
      <w:tabs>
        <w:tab w:val="left" w:pos="0"/>
      </w:tabs>
      <w:adjustRightInd w:val="0"/>
      <w:snapToGrid w:val="0"/>
      <w:spacing w:line="240" w:lineRule="auto"/>
      <w:ind w:firstLine="0" w:firstLineChars="0"/>
      <w:jc w:val="center"/>
      <w:outlineLvl w:val="0"/>
    </w:pPr>
    <w:rPr>
      <w:rFonts w:ascii="Times New Roman" w:hAnsi="Times New Roman" w:eastAsia="方正小标宋简体" w:cs="Times New Roman"/>
      <w:bCs/>
      <w:kern w:val="44"/>
      <w:sz w:val="44"/>
      <w:szCs w:val="44"/>
    </w:rPr>
  </w:style>
  <w:style w:type="paragraph" w:styleId="5">
    <w:name w:val="heading 2"/>
    <w:basedOn w:val="6"/>
    <w:next w:val="1"/>
    <w:semiHidden/>
    <w:unhideWhenUsed/>
    <w:qFormat/>
    <w:uiPriority w:val="0"/>
    <w:pPr>
      <w:keepNext/>
      <w:keepLines/>
      <w:adjustRightInd w:val="0"/>
      <w:snapToGrid w:val="0"/>
      <w:spacing w:beforeLines="0" w:beforeAutospacing="0" w:afterLines="0" w:afterAutospacing="0" w:line="600" w:lineRule="exact"/>
      <w:outlineLvl w:val="1"/>
    </w:pPr>
    <w:rPr>
      <w:rFonts w:ascii="Arial" w:hAnsi="Arial" w:eastAsia="华文仿宋"/>
      <w:sz w:val="32"/>
      <w:szCs w:val="22"/>
    </w:rPr>
  </w:style>
  <w:style w:type="paragraph" w:styleId="8">
    <w:name w:val="heading 3"/>
    <w:basedOn w:val="9"/>
    <w:next w:val="1"/>
    <w:semiHidden/>
    <w:unhideWhenUsed/>
    <w:qFormat/>
    <w:uiPriority w:val="0"/>
    <w:pPr>
      <w:keepNext/>
      <w:keepLines/>
      <w:tabs>
        <w:tab w:val="left" w:pos="0"/>
      </w:tabs>
      <w:spacing w:before="2" w:beforeLines="0" w:beforeAutospacing="0" w:afterLines="0" w:afterAutospacing="0" w:line="600" w:lineRule="exact"/>
      <w:outlineLvl w:val="2"/>
    </w:pPr>
    <w:rPr>
      <w:rFonts w:ascii="Times New Roman" w:hAnsi="Times New Roman" w:eastAsia="楷体_GB2312"/>
      <w:b/>
    </w:rPr>
  </w:style>
  <w:style w:type="paragraph" w:styleId="11">
    <w:name w:val="heading 4"/>
    <w:basedOn w:val="1"/>
    <w:next w:val="1"/>
    <w:semiHidden/>
    <w:unhideWhenUsed/>
    <w:qFormat/>
    <w:uiPriority w:val="0"/>
    <w:pPr>
      <w:keepNext/>
      <w:keepLines/>
      <w:adjustRightInd w:val="0"/>
      <w:snapToGrid w:val="0"/>
      <w:spacing w:beforeLines="0" w:beforeAutospacing="0" w:afterLines="0" w:afterAutospacing="0" w:line="600" w:lineRule="exact"/>
      <w:outlineLvl w:val="3"/>
    </w:pPr>
    <w:rPr>
      <w:rFonts w:ascii="Times New Roman" w:hAnsi="Times New Roman" w:eastAsia="仿宋_GB2312" w:cs="Times New Roman"/>
      <w:sz w:val="32"/>
    </w:rPr>
  </w:style>
  <w:style w:type="character" w:default="1" w:styleId="14">
    <w:name w:val="Default Paragraph Font"/>
    <w:semiHidden/>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0"/>
    <w:pPr>
      <w:ind w:firstLine="420" w:firstLineChars="200"/>
    </w:pPr>
  </w:style>
  <w:style w:type="paragraph" w:styleId="3">
    <w:name w:val="Body Text Indent"/>
    <w:basedOn w:val="1"/>
    <w:uiPriority w:val="0"/>
    <w:pPr>
      <w:spacing w:after="120" w:afterLines="0" w:afterAutospacing="0"/>
      <w:ind w:left="420" w:leftChars="200"/>
    </w:pPr>
  </w:style>
  <w:style w:type="paragraph" w:styleId="6">
    <w:name w:val="index heading"/>
    <w:basedOn w:val="1"/>
    <w:next w:val="7"/>
    <w:uiPriority w:val="0"/>
    <w:rPr>
      <w:rFonts w:ascii="Arial" w:hAnsi="Arial"/>
      <w:b/>
    </w:rPr>
  </w:style>
  <w:style w:type="paragraph" w:styleId="7">
    <w:name w:val="index 1"/>
    <w:basedOn w:val="1"/>
    <w:next w:val="1"/>
    <w:qFormat/>
    <w:uiPriority w:val="0"/>
  </w:style>
  <w:style w:type="paragraph" w:customStyle="1" w:styleId="9">
    <w:name w:val="一级标题"/>
    <w:basedOn w:val="10"/>
    <w:link w:val="15"/>
    <w:uiPriority w:val="0"/>
    <w:pPr>
      <w:tabs>
        <w:tab w:val="left" w:pos="0"/>
      </w:tabs>
      <w:spacing w:line="600" w:lineRule="exact"/>
      <w:ind w:firstLine="640"/>
      <w:jc w:val="left"/>
    </w:pPr>
    <w:rPr>
      <w:rFonts w:hint="eastAsia" w:ascii="黑体" w:hAnsi="黑体" w:eastAsia="黑体" w:cs="黑体"/>
      <w:sz w:val="32"/>
      <w:szCs w:val="32"/>
    </w:rPr>
  </w:style>
  <w:style w:type="paragraph" w:styleId="10">
    <w:name w:val="toa heading"/>
    <w:basedOn w:val="1"/>
    <w:next w:val="1"/>
    <w:uiPriority w:val="0"/>
    <w:pPr>
      <w:spacing w:before="120" w:beforeLines="0" w:beforeAutospacing="0"/>
    </w:pPr>
    <w:rPr>
      <w:rFonts w:ascii="Arial" w:hAnsi="Arial"/>
      <w:sz w:val="24"/>
    </w:rPr>
  </w:style>
  <w:style w:type="paragraph" w:styleId="12">
    <w:name w:val="Body Text"/>
    <w:basedOn w:val="1"/>
    <w:uiPriority w:val="0"/>
    <w:pPr>
      <w:spacing w:after="120" w:afterLines="0" w:afterAutospacing="0"/>
    </w:pPr>
  </w:style>
  <w:style w:type="character" w:customStyle="1" w:styleId="15">
    <w:name w:val="一级标题 Char"/>
    <w:link w:val="9"/>
    <w:qFormat/>
    <w:uiPriority w:val="0"/>
    <w:rPr>
      <w:rFonts w:hint="eastAsia" w:ascii="黑体" w:hAnsi="黑体" w:eastAsia="黑体" w:cs="黑体"/>
      <w:sz w:val="32"/>
      <w:szCs w:val="32"/>
    </w:rPr>
  </w:style>
  <w:style w:type="paragraph" w:customStyle="1" w:styleId="16">
    <w:name w:val="表标题"/>
    <w:basedOn w:val="1"/>
    <w:next w:val="12"/>
    <w:uiPriority w:val="0"/>
    <w:pPr>
      <w:spacing w:line="240" w:lineRule="auto"/>
      <w:jc w:val="center"/>
    </w:pPr>
    <w:rPr>
      <w:rFonts w:hint="eastAsia" w:ascii="楷体_GB2312" w:hAnsi="楷体_GB2312" w:eastAsia="楷体_GB2312" w:cs="楷体_GB2312"/>
      <w:b/>
      <w:bCs/>
      <w:sz w:val="24"/>
      <w:szCs w:val="24"/>
      <w:u w:val="none" w:color="auto"/>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2023-01-06T09:27:00Z</dcterms:created>
  <dc:creator>~阳光D海岸~</dc:creator>
  <cp:lastModifiedBy>~阳光D海岸~</cp:lastModifiedBy>
  <dcterms:modified xsi:type="dcterms:W3CDTF">2023-01-06T09:31:07Z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443DE4F111C5437E82A0A3A24604D5EB</vt:lpwstr>
  </property>
</Properties>
</file>