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600" w:lineRule="exact"/>
        <w:jc w:val="left"/>
        <w:rPr>
          <w:rFonts w:ascii="Times New Roman" w:hAnsi="Times New Roman" w:eastAsia="黑体"/>
          <w:sz w:val="32"/>
          <w:szCs w:val="32"/>
        </w:rPr>
      </w:pPr>
      <w:r>
        <w:rPr>
          <w:rFonts w:ascii="Times New Roman" w:hAnsi="Times New Roman" w:eastAsia="黑体"/>
          <w:sz w:val="32"/>
          <w:szCs w:val="32"/>
        </w:rPr>
        <w:t>明查表</w:t>
      </w:r>
      <w:r>
        <w:rPr>
          <w:rFonts w:hint="eastAsia" w:ascii="Times New Roman" w:hAnsi="Times New Roman" w:eastAsia="黑体"/>
          <w:sz w:val="32"/>
          <w:szCs w:val="32"/>
          <w:lang w:val="en-US" w:eastAsia="zh-CN"/>
        </w:rPr>
        <w:t>8</w:t>
      </w:r>
    </w:p>
    <w:p>
      <w:pPr>
        <w:jc w:val="center"/>
        <w:rPr>
          <w:rFonts w:hint="eastAsia" w:ascii="方正小标宋简体" w:hAnsi="方正小标宋简体" w:eastAsia="方正小标宋简体" w:cs="方正小标宋简体"/>
          <w:i w:val="0"/>
          <w:iCs w:val="0"/>
          <w:color w:val="000000"/>
          <w:kern w:val="0"/>
          <w:sz w:val="36"/>
          <w:szCs w:val="36"/>
          <w:u w:val="none"/>
          <w:lang w:val="en-US" w:eastAsia="zh-CN" w:bidi="ar"/>
        </w:rPr>
      </w:pPr>
      <w:bookmarkStart w:id="0" w:name="_GoBack"/>
      <w:r>
        <w:rPr>
          <w:rFonts w:hint="eastAsia" w:ascii="方正小标宋简体" w:hAnsi="方正小标宋简体" w:eastAsia="方正小标宋简体" w:cs="方正小标宋简体"/>
          <w:i w:val="0"/>
          <w:iCs w:val="0"/>
          <w:color w:val="000000"/>
          <w:kern w:val="0"/>
          <w:sz w:val="36"/>
          <w:szCs w:val="36"/>
          <w:u w:val="none"/>
          <w:lang w:val="en-US" w:eastAsia="zh-CN" w:bidi="ar"/>
        </w:rPr>
        <w:t>农贸市场明查打分表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业态类型：农贸市场                          单位名称（与执照一致）：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8"/>
        <w:gridCol w:w="1133"/>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w:t>
            </w:r>
            <w:r>
              <w:rPr>
                <w:rFonts w:hint="eastAsia" w:ascii="仿宋_GB2312" w:hAnsi="Times New Roman" w:eastAsia="仿宋_GB2312" w:cs="仿宋_GB2312"/>
                <w:i w:val="0"/>
                <w:iCs w:val="0"/>
                <w:color w:val="000000"/>
                <w:kern w:val="0"/>
                <w:sz w:val="24"/>
                <w:szCs w:val="24"/>
                <w:u w:val="none"/>
                <w:lang w:val="en-US" w:eastAsia="zh-CN" w:bidi="ar"/>
              </w:rPr>
              <w:t>销售非法添加、农兽药残留超标、虚假宣传、假冒伪劣等不符合食品安全标准食品的行为，扣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企业至少有</w:t>
            </w:r>
            <w:r>
              <w:rPr>
                <w:rFonts w:hint="default" w:ascii="Times New Roman" w:hAnsi="Times New Roman" w:eastAsia="宋体" w:cs="Times New Roman"/>
                <w:i w:val="0"/>
                <w:iCs w:val="0"/>
                <w:color w:val="000000"/>
                <w:kern w:val="0"/>
                <w:sz w:val="24"/>
                <w:szCs w:val="24"/>
                <w:u w:val="none"/>
                <w:lang w:val="en-US" w:eastAsia="zh-CN" w:bidi="ar"/>
              </w:rPr>
              <w:t>9</w:t>
            </w:r>
            <w:r>
              <w:rPr>
                <w:rFonts w:ascii="仿宋_GB2312" w:hAnsi="Times New Roman" w:eastAsia="仿宋_GB2312" w:cs="仿宋_GB2312"/>
                <w:i w:val="0"/>
                <w:iCs w:val="0"/>
                <w:color w:val="000000"/>
                <w:kern w:val="0"/>
                <w:sz w:val="24"/>
                <w:szCs w:val="24"/>
                <w:u w:val="none"/>
                <w:lang w:val="en-US" w:eastAsia="zh-CN" w:bidi="ar"/>
              </w:rPr>
              <w:t>项食品安全管理制度：⑴有食品安全自查制度、⑵进货查验记录制度、⑶从业人员健康管理制度、⑷食品安全培训考核制度、⑸不合格食品处置、⑹投诉举报制度、⑺食品安全事故处置方案、⑻产品入场审验及快速检测等制度、⑼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现场未提供《食品安全总监职责》（大中型食品销售企业、连锁销售企业总部提供）、《食品安全员守则》文件，扣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未明确主要负责人、食品安全总监（大中型食品销售企业、连锁销售企业总部配备）、食品安全员等人员的设立及调整情况的，扣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过程控制</w:t>
            </w: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管理制度未对外公示的，扣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市场开办方未在场内醒目位置公示《营业执照》，扣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场内经营户未在摊位醒目位置公示《营业执照》，若散装食品，未在摊位醒目位置公示《食品经营许可证》，扣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市场开办者发现不符合食品安全标准的食用农产品时，未按要求要求销售者立即停止销售，并向市场监管部门报告的，扣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随机抽查三家场内经营户，未能提供其业户档案（档案中至少包括入场销售者身份证、租赁合同或承诺），扣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市场开办方在场内公示食品安全信息不完全的，扣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至少需公示《营业执照》、食品安全管理制度、食品安全管理员、快速检测结果等。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未落实食品安全自查制度定期开展食品安全自查，无自查记录的，扣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eastAsia" w:ascii="仿宋_GB2312" w:hAnsi="Times New Roman" w:eastAsia="仿宋_GB2312" w:cs="仿宋_GB2312"/>
                <w:i w:val="0"/>
                <w:iCs w:val="0"/>
                <w:color w:val="000000"/>
                <w:kern w:val="0"/>
                <w:sz w:val="22"/>
                <w:szCs w:val="22"/>
                <w:u w:val="none"/>
                <w:lang w:val="en-US" w:eastAsia="zh-CN" w:bidi="ar"/>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现场未提供食品安全违法行为制止及报告、食品安全事故处置、投诉举报处置相对应的工作记录（无相关内容可提供零报告），扣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存在食用农产品与非食用农产品混放、食用农产品未分区销售行为，扣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存在食用农产品销售场所未按要求公布食用农产品相关信息的，扣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存在销售禁止销售食用农产品等违法违规行为，扣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现场未提供开展定期消杀防疫作业的记录，扣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在售进口冷链食品无</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三证一码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（入境货物检验检疫证明、核酸检测</w:t>
            </w:r>
            <w:r>
              <w:rPr>
                <w:rFonts w:hint="eastAsia" w:ascii="仿宋_GB2312" w:hAnsi="Times New Roman" w:eastAsia="仿宋_GB2312" w:cs="仿宋_GB2312"/>
                <w:i w:val="0"/>
                <w:iCs w:val="0"/>
                <w:color w:val="000000"/>
                <w:kern w:val="0"/>
                <w:sz w:val="24"/>
                <w:szCs w:val="24"/>
                <w:u w:val="none"/>
                <w:lang w:val="en-US" w:eastAsia="zh-CN" w:bidi="ar"/>
              </w:rPr>
              <w:t>合格</w:t>
            </w:r>
            <w:r>
              <w:rPr>
                <w:rFonts w:ascii="仿宋_GB2312" w:hAnsi="Times New Roman" w:eastAsia="仿宋_GB2312" w:cs="仿宋_GB2312"/>
                <w:i w:val="0"/>
                <w:iCs w:val="0"/>
                <w:color w:val="000000"/>
                <w:kern w:val="0"/>
                <w:sz w:val="24"/>
                <w:szCs w:val="24"/>
                <w:u w:val="none"/>
                <w:lang w:val="en-US" w:eastAsia="zh-CN" w:bidi="ar"/>
              </w:rPr>
              <w:t>证明、消毒证明、追溯码）的，扣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经营区域未做到干湿分离，扣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市场主办方未履行入市查验或经营户未严格实施进货查验等要求，扣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65</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未按规定落实食品安全自查制度，未定期开展食品安全自查，自查报告率未达到</w:t>
            </w:r>
            <w:r>
              <w:rPr>
                <w:rFonts w:hint="default" w:ascii="Times New Roman" w:hAnsi="Times New Roman" w:eastAsia="宋体" w:cs="Times New Roman"/>
                <w:i w:val="0"/>
                <w:iCs w:val="0"/>
                <w:color w:val="000000"/>
                <w:kern w:val="0"/>
                <w:sz w:val="24"/>
                <w:szCs w:val="24"/>
                <w:u w:val="none"/>
                <w:lang w:val="en-US" w:eastAsia="zh-CN" w:bidi="ar"/>
              </w:rPr>
              <w:t>100%</w:t>
            </w:r>
            <w:r>
              <w:rPr>
                <w:rFonts w:ascii="仿宋_GB2312" w:hAnsi="Times New Roman" w:eastAsia="仿宋_GB2312" w:cs="仿宋_GB2312"/>
                <w:i w:val="0"/>
                <w:iCs w:val="0"/>
                <w:color w:val="000000"/>
                <w:kern w:val="0"/>
                <w:sz w:val="24"/>
                <w:szCs w:val="24"/>
                <w:u w:val="none"/>
                <w:lang w:val="en-US" w:eastAsia="zh-CN" w:bidi="ar"/>
              </w:rPr>
              <w:t>，扣</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81B5EF0"/>
    <w:rsid w:val="0AC85742"/>
    <w:rsid w:val="118A0FD0"/>
    <w:rsid w:val="184473D8"/>
    <w:rsid w:val="1BB10A7E"/>
    <w:rsid w:val="1EF34102"/>
    <w:rsid w:val="2CB50578"/>
    <w:rsid w:val="2CDA6E30"/>
    <w:rsid w:val="33E552A9"/>
    <w:rsid w:val="35F029FD"/>
    <w:rsid w:val="43067708"/>
    <w:rsid w:val="456926CF"/>
    <w:rsid w:val="4605452E"/>
    <w:rsid w:val="46E502D3"/>
    <w:rsid w:val="4F365D17"/>
    <w:rsid w:val="509251CF"/>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F9CF6F0CAB1D4736A29B4832FDD7194C</vt:lpwstr>
  </property>
</Properties>
</file>