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line="360" w:lineRule="exact"/>
        <w:jc w:val="left"/>
        <w:rPr>
          <w:rFonts w:ascii="Times New Roman" w:hAnsi="Times New Roman" w:eastAsia="黑体"/>
          <w:sz w:val="32"/>
          <w:szCs w:val="32"/>
        </w:rPr>
      </w:pPr>
      <w:r>
        <w:rPr>
          <w:rFonts w:ascii="Times New Roman" w:hAnsi="Times New Roman" w:eastAsia="黑体"/>
          <w:sz w:val="32"/>
          <w:szCs w:val="32"/>
        </w:rPr>
        <w:t>明查表</w:t>
      </w:r>
      <w:r>
        <w:rPr>
          <w:rFonts w:hint="eastAsia" w:ascii="Times New Roman" w:hAnsi="Times New Roman" w:eastAsia="黑体"/>
          <w:sz w:val="32"/>
          <w:szCs w:val="32"/>
          <w:lang w:val="en-US" w:eastAsia="zh-CN"/>
        </w:rPr>
        <w:t>7</w:t>
      </w:r>
    </w:p>
    <w:p>
      <w:pPr>
        <w:pStyle w:val="2"/>
        <w:ind w:left="0" w:leftChars="0" w:firstLine="0" w:firstLineChars="0"/>
        <w:jc w:val="center"/>
        <w:rPr>
          <w:rFonts w:hint="eastAsia" w:ascii="方正小标宋简体" w:hAnsi="方正小标宋简体" w:eastAsia="方正小标宋简体" w:cs="方正小标宋简体"/>
          <w:i w:val="0"/>
          <w:iCs w:val="0"/>
          <w:color w:val="000000"/>
          <w:kern w:val="0"/>
          <w:sz w:val="36"/>
          <w:szCs w:val="36"/>
          <w:u w:val="none"/>
          <w:lang w:val="en-US" w:eastAsia="zh-CN" w:bidi="ar"/>
        </w:rPr>
      </w:pPr>
      <w:bookmarkStart w:id="0" w:name="_GoBack"/>
      <w:r>
        <w:rPr>
          <w:rFonts w:hint="eastAsia" w:ascii="方正小标宋简体" w:hAnsi="方正小标宋简体" w:eastAsia="方正小标宋简体" w:cs="方正小标宋简体"/>
          <w:i w:val="0"/>
          <w:iCs w:val="0"/>
          <w:color w:val="000000"/>
          <w:kern w:val="0"/>
          <w:sz w:val="36"/>
          <w:szCs w:val="36"/>
          <w:u w:val="none"/>
          <w:lang w:val="en-US" w:eastAsia="zh-CN" w:bidi="ar"/>
        </w:rPr>
        <w:t>食用农产品批发市场明查打分表</w:t>
      </w:r>
    </w:p>
    <w:bookmarkEnd w:id="0"/>
    <w:p>
      <w:pPr>
        <w:rPr>
          <w:rFonts w:hint="default"/>
          <w:lang w:val="en-US" w:eastAsia="zh-CN"/>
        </w:rPr>
      </w:pPr>
    </w:p>
    <w:p>
      <w:pPr>
        <w:ind w:firstLine="240" w:firstLineChars="100"/>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业态类型：食用农产品批发市场              单位名称（与执照一致）：                            所属街道：</w:t>
      </w:r>
    </w:p>
    <w:tbl>
      <w:tblPr>
        <w:tblStyle w:val="13"/>
        <w:tblW w:w="13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700"/>
        <w:gridCol w:w="2267"/>
        <w:gridCol w:w="1134"/>
        <w:gridCol w:w="8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tblHeader/>
          <w:jc w:val="center"/>
        </w:trPr>
        <w:tc>
          <w:tcPr>
            <w:tcW w:w="1700" w:type="dxa"/>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评价要点</w:t>
            </w:r>
          </w:p>
        </w:tc>
        <w:tc>
          <w:tcPr>
            <w:tcW w:w="2267" w:type="dxa"/>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辽宁省评价标准</w:t>
            </w:r>
          </w:p>
        </w:tc>
        <w:tc>
          <w:tcPr>
            <w:tcW w:w="1134" w:type="dxa"/>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序号</w:t>
            </w:r>
          </w:p>
        </w:tc>
        <w:tc>
          <w:tcPr>
            <w:tcW w:w="8499" w:type="dxa"/>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检查要点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w:t>
            </w:r>
            <w:r>
              <w:rPr>
                <w:rFonts w:ascii="仿宋_GB2312" w:hAnsi="Times New Roman" w:eastAsia="仿宋_GB2312" w:cs="仿宋_GB2312"/>
                <w:i w:val="0"/>
                <w:iCs w:val="0"/>
                <w:color w:val="000000"/>
                <w:kern w:val="0"/>
                <w:sz w:val="24"/>
                <w:szCs w:val="24"/>
                <w:u w:val="none"/>
                <w:lang w:val="en-US" w:eastAsia="zh-CN" w:bidi="ar"/>
              </w:rPr>
              <w:t>过程监督</w:t>
            </w: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26</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现场发现野生动物、食品浪费现象，扣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26</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现场未见</w:t>
            </w:r>
            <w:r>
              <w:rPr>
                <w:rFonts w:hint="default" w:ascii="Times New Roman" w:hAnsi="Times New Roman" w:eastAsia="宋体" w:cs="Times New Roman"/>
                <w:i w:val="0"/>
                <w:iCs w:val="0"/>
                <w:color w:val="000000"/>
                <w:kern w:val="0"/>
                <w:sz w:val="24"/>
                <w:szCs w:val="24"/>
                <w:u w:val="none"/>
                <w:lang w:val="en-US" w:eastAsia="zh-CN" w:bidi="ar"/>
              </w:rPr>
              <w:t>“</w:t>
            </w:r>
            <w:r>
              <w:rPr>
                <w:rFonts w:ascii="仿宋_GB2312" w:hAnsi="Times New Roman" w:eastAsia="仿宋_GB2312" w:cs="仿宋_GB2312"/>
                <w:i w:val="0"/>
                <w:iCs w:val="0"/>
                <w:color w:val="000000"/>
                <w:kern w:val="0"/>
                <w:sz w:val="24"/>
                <w:szCs w:val="24"/>
                <w:u w:val="none"/>
                <w:lang w:val="en-US" w:eastAsia="zh-CN" w:bidi="ar"/>
              </w:rPr>
              <w:t>反食品浪费</w:t>
            </w:r>
            <w:r>
              <w:rPr>
                <w:rFonts w:hint="default" w:ascii="Times New Roman" w:hAnsi="Times New Roman" w:eastAsia="宋体" w:cs="Times New Roman"/>
                <w:i w:val="0"/>
                <w:iCs w:val="0"/>
                <w:color w:val="000000"/>
                <w:kern w:val="0"/>
                <w:sz w:val="24"/>
                <w:szCs w:val="24"/>
                <w:u w:val="none"/>
                <w:lang w:val="en-US" w:eastAsia="zh-CN" w:bidi="ar"/>
              </w:rPr>
              <w:t>”</w:t>
            </w:r>
            <w:r>
              <w:rPr>
                <w:rFonts w:ascii="仿宋_GB2312" w:hAnsi="Times New Roman" w:eastAsia="仿宋_GB2312" w:cs="仿宋_GB2312"/>
                <w:i w:val="0"/>
                <w:iCs w:val="0"/>
                <w:color w:val="000000"/>
                <w:kern w:val="0"/>
                <w:sz w:val="24"/>
                <w:szCs w:val="24"/>
                <w:u w:val="none"/>
                <w:lang w:val="en-US" w:eastAsia="zh-CN" w:bidi="ar"/>
              </w:rPr>
              <w:t>相关字样的宣传，扣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w:t>
            </w:r>
            <w:r>
              <w:rPr>
                <w:rFonts w:ascii="仿宋_GB2312" w:hAnsi="Times New Roman" w:eastAsia="仿宋_GB2312" w:cs="仿宋_GB2312"/>
                <w:i w:val="0"/>
                <w:iCs w:val="0"/>
                <w:color w:val="000000"/>
                <w:kern w:val="0"/>
                <w:sz w:val="24"/>
                <w:szCs w:val="24"/>
                <w:u w:val="none"/>
                <w:lang w:val="en-US" w:eastAsia="zh-CN" w:bidi="ar"/>
              </w:rPr>
              <w:t>社会共治</w:t>
            </w: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37</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未开展食品安全宣传教育，扣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19.</w:t>
            </w:r>
            <w:r>
              <w:rPr>
                <w:rFonts w:ascii="仿宋_GB2312" w:hAnsi="Times New Roman" w:eastAsia="仿宋_GB2312" w:cs="仿宋_GB2312"/>
                <w:i w:val="0"/>
                <w:iCs w:val="0"/>
                <w:color w:val="000000"/>
                <w:kern w:val="0"/>
                <w:sz w:val="24"/>
                <w:szCs w:val="24"/>
                <w:u w:val="none"/>
                <w:lang w:val="en-US" w:eastAsia="zh-CN" w:bidi="ar"/>
              </w:rPr>
              <w:t>管理制度</w:t>
            </w: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51</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未健全食品安全管理制度的，扣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ascii="仿宋_GB2312" w:hAnsi="Times New Roman" w:eastAsia="仿宋_GB2312" w:cs="仿宋_GB2312"/>
                <w:i w:val="0"/>
                <w:iCs w:val="0"/>
                <w:color w:val="000000"/>
                <w:kern w:val="0"/>
                <w:sz w:val="24"/>
                <w:szCs w:val="24"/>
                <w:u w:val="none"/>
                <w:lang w:val="en-US" w:eastAsia="zh-CN" w:bidi="ar"/>
              </w:rPr>
              <w:t>企业至少有</w:t>
            </w:r>
            <w:r>
              <w:rPr>
                <w:rFonts w:hint="default" w:ascii="Times New Roman" w:hAnsi="Times New Roman" w:eastAsia="宋体" w:cs="Times New Roman"/>
                <w:i w:val="0"/>
                <w:iCs w:val="0"/>
                <w:color w:val="000000"/>
                <w:kern w:val="0"/>
                <w:sz w:val="24"/>
                <w:szCs w:val="24"/>
                <w:u w:val="none"/>
                <w:lang w:val="en-US" w:eastAsia="zh-CN" w:bidi="ar"/>
              </w:rPr>
              <w:t>9</w:t>
            </w:r>
            <w:r>
              <w:rPr>
                <w:rFonts w:ascii="仿宋_GB2312" w:hAnsi="Times New Roman" w:eastAsia="仿宋_GB2312" w:cs="仿宋_GB2312"/>
                <w:i w:val="0"/>
                <w:iCs w:val="0"/>
                <w:color w:val="000000"/>
                <w:kern w:val="0"/>
                <w:sz w:val="24"/>
                <w:szCs w:val="24"/>
                <w:u w:val="none"/>
                <w:lang w:val="en-US" w:eastAsia="zh-CN" w:bidi="ar"/>
              </w:rPr>
              <w:t>项食品安全管理制度：⑴有食品安全自查制度、⑵进货查验记录制度、⑶从业人员健康管理制度、⑷食品安全培训考核制度、⑸不合格食品处置、⑹投诉举报制度、⑺食品安全事故处置方案、⑻产品入场审验及快速检测等制度、⑼日管控、周排查、月调度工作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51</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现场未提供《食品安全总监职责》、《食品安全员守则》文件，扣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51</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现场未提供近两年加大食品质量安全管理投入的证明材料，扣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ascii="仿宋_GB2312" w:hAnsi="Times New Roman" w:eastAsia="仿宋_GB2312" w:cs="仿宋_GB2312"/>
                <w:i w:val="0"/>
                <w:iCs w:val="0"/>
                <w:color w:val="000000"/>
                <w:kern w:val="0"/>
                <w:sz w:val="24"/>
                <w:szCs w:val="24"/>
                <w:u w:val="none"/>
                <w:lang w:val="en-US" w:eastAsia="zh-CN" w:bidi="ar"/>
              </w:rPr>
              <w:t>体现加大投入的方式：包括但不限于用于改进食品安全风险管控的设备设施、追溯体系信息化建设、食品安全管理人员培训、实验室建设的相关证明等（能体现以上任有其一即可）。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52</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未明确主要负责人、食品安全总监（大中型餐饮服务企业、连锁餐饮企业总部配备）、食品安全员等人员的设立及调整情况的，扣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52</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现场未提供定期对从业人员及食品安全管理人员开展培训考核证明材料的，扣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52</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单位负责人、食品安全管理人员每年参加食品质量安全法律法规等集中培训低于</w:t>
            </w:r>
            <w:r>
              <w:rPr>
                <w:rFonts w:hint="default" w:ascii="Times New Roman" w:hAnsi="Times New Roman" w:eastAsia="宋体" w:cs="Times New Roman"/>
                <w:i w:val="0"/>
                <w:iCs w:val="0"/>
                <w:color w:val="000000"/>
                <w:kern w:val="0"/>
                <w:sz w:val="24"/>
                <w:szCs w:val="24"/>
                <w:u w:val="none"/>
                <w:lang w:val="en-US" w:eastAsia="zh-CN" w:bidi="ar"/>
              </w:rPr>
              <w:t>40</w:t>
            </w:r>
            <w:r>
              <w:rPr>
                <w:rFonts w:ascii="仿宋_GB2312" w:hAnsi="Times New Roman" w:eastAsia="仿宋_GB2312" w:cs="仿宋_GB2312"/>
                <w:i w:val="0"/>
                <w:iCs w:val="0"/>
                <w:color w:val="000000"/>
                <w:kern w:val="0"/>
                <w:sz w:val="24"/>
                <w:szCs w:val="24"/>
                <w:u w:val="none"/>
                <w:lang w:val="en-US" w:eastAsia="zh-CN" w:bidi="ar"/>
              </w:rPr>
              <w:t>学时的，扣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7"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52</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现场未提供监督管理部门对食品安全管理员（食品安全总监和食品安全员）进行监督抽查考核记录及考核合格结果，扣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分。（若监管部门无具体考核频次要求，则默认每年至少接受一次考核。）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20.</w:t>
            </w:r>
            <w:r>
              <w:rPr>
                <w:rFonts w:hint="eastAsia" w:ascii="仿宋_GB2312" w:hAnsi="Times New Roman" w:eastAsia="仿宋_GB2312" w:cs="仿宋_GB2312"/>
                <w:i w:val="0"/>
                <w:iCs w:val="0"/>
                <w:color w:val="000000"/>
                <w:kern w:val="0"/>
                <w:sz w:val="22"/>
                <w:szCs w:val="22"/>
                <w:u w:val="none"/>
                <w:lang w:val="en-US" w:eastAsia="zh-CN" w:bidi="ar"/>
              </w:rPr>
              <w:t>过程控制</w:t>
            </w:r>
          </w:p>
        </w:tc>
        <w:tc>
          <w:tcPr>
            <w:tcW w:w="2267"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64</w:t>
            </w:r>
            <w:r>
              <w:rPr>
                <w:rFonts w:hint="eastAsia" w:ascii="仿宋_GB2312" w:hAnsi="Times New Roman" w:eastAsia="仿宋_GB2312" w:cs="仿宋_GB2312"/>
                <w:i w:val="0"/>
                <w:iCs w:val="0"/>
                <w:color w:val="000000"/>
                <w:kern w:val="0"/>
                <w:sz w:val="22"/>
                <w:szCs w:val="22"/>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管理制度未对外公示的，扣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267"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64</w:t>
            </w:r>
            <w:r>
              <w:rPr>
                <w:rFonts w:hint="eastAsia" w:ascii="仿宋_GB2312" w:hAnsi="Times New Roman" w:eastAsia="仿宋_GB2312" w:cs="仿宋_GB2312"/>
                <w:i w:val="0"/>
                <w:iCs w:val="0"/>
                <w:color w:val="000000"/>
                <w:kern w:val="0"/>
                <w:sz w:val="22"/>
                <w:szCs w:val="22"/>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12</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市场开办方未在场内醒目位置公示《营业执照》，扣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267"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64</w:t>
            </w:r>
            <w:r>
              <w:rPr>
                <w:rFonts w:hint="eastAsia" w:ascii="仿宋_GB2312" w:hAnsi="Times New Roman" w:eastAsia="仿宋_GB2312" w:cs="仿宋_GB2312"/>
                <w:i w:val="0"/>
                <w:iCs w:val="0"/>
                <w:color w:val="000000"/>
                <w:kern w:val="0"/>
                <w:sz w:val="22"/>
                <w:szCs w:val="22"/>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13</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场内经营户未在摊位醒目位置公示《营业执照》，若散装食品，未在摊位醒目位置公示《食品经营许可证》，扣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267"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64</w:t>
            </w:r>
            <w:r>
              <w:rPr>
                <w:rFonts w:hint="eastAsia" w:ascii="仿宋_GB2312" w:hAnsi="Times New Roman" w:eastAsia="仿宋_GB2312" w:cs="仿宋_GB2312"/>
                <w:i w:val="0"/>
                <w:iCs w:val="0"/>
                <w:color w:val="000000"/>
                <w:kern w:val="0"/>
                <w:sz w:val="22"/>
                <w:szCs w:val="22"/>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14</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市场开办者发现不符合食品安全标准的食用农产品时，未按要求要求销售者立即停止销售，并向市场监管部门报告的，扣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267"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64</w:t>
            </w:r>
            <w:r>
              <w:rPr>
                <w:rFonts w:hint="eastAsia" w:ascii="仿宋_GB2312" w:hAnsi="Times New Roman" w:eastAsia="仿宋_GB2312" w:cs="仿宋_GB2312"/>
                <w:i w:val="0"/>
                <w:iCs w:val="0"/>
                <w:color w:val="000000"/>
                <w:kern w:val="0"/>
                <w:sz w:val="22"/>
                <w:szCs w:val="22"/>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随机抽查三家场内经营户，未能提供其业户档案（档案中至少包括入场销售者身份证、租赁合同或承诺），扣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267"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64</w:t>
            </w:r>
            <w:r>
              <w:rPr>
                <w:rFonts w:hint="eastAsia" w:ascii="仿宋_GB2312" w:hAnsi="Times New Roman" w:eastAsia="仿宋_GB2312" w:cs="仿宋_GB2312"/>
                <w:i w:val="0"/>
                <w:iCs w:val="0"/>
                <w:color w:val="000000"/>
                <w:kern w:val="0"/>
                <w:sz w:val="22"/>
                <w:szCs w:val="22"/>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市场开办方在场内公示食品安全信息不完全的，扣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ascii="仿宋_GB2312" w:hAnsi="Times New Roman" w:eastAsia="仿宋_GB2312" w:cs="仿宋_GB2312"/>
                <w:i w:val="0"/>
                <w:iCs w:val="0"/>
                <w:color w:val="000000"/>
                <w:kern w:val="0"/>
                <w:sz w:val="24"/>
                <w:szCs w:val="24"/>
                <w:u w:val="none"/>
                <w:lang w:val="en-US" w:eastAsia="zh-CN" w:bidi="ar"/>
              </w:rPr>
              <w:t>至少需公示《营业执照》、食品安全管理制度、食品安全管理员、快速检测结果等。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267"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64</w:t>
            </w:r>
            <w:r>
              <w:rPr>
                <w:rFonts w:hint="eastAsia" w:ascii="仿宋_GB2312" w:hAnsi="Times New Roman" w:eastAsia="仿宋_GB2312" w:cs="仿宋_GB2312"/>
                <w:i w:val="0"/>
                <w:iCs w:val="0"/>
                <w:color w:val="000000"/>
                <w:kern w:val="0"/>
                <w:sz w:val="22"/>
                <w:szCs w:val="22"/>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未落实食品安全自查制度定期开展食品安全自查，无自查记录的，扣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267" w:type="dxa"/>
            <w:shd w:val="clear" w:color="auto" w:fill="auto"/>
            <w:noWrap/>
            <w:vAlign w:val="center"/>
          </w:tcPr>
          <w:p>
            <w:pPr>
              <w:keepNext w:val="0"/>
              <w:keepLines w:val="0"/>
              <w:widowControl/>
              <w:suppressLineNumbers w:val="0"/>
              <w:jc w:val="center"/>
              <w:textAlignment w:val="center"/>
              <w:rPr>
                <w:rFonts w:hint="eastAsia" w:ascii="仿宋_GB2312" w:hAnsi="Times New Roman" w:eastAsia="仿宋_GB2312" w:cs="仿宋_GB2312"/>
                <w:i w:val="0"/>
                <w:iCs w:val="0"/>
                <w:color w:val="000000"/>
                <w:kern w:val="0"/>
                <w:sz w:val="22"/>
                <w:szCs w:val="22"/>
                <w:u w:val="none"/>
                <w:lang w:val="en-US" w:eastAsia="zh-CN" w:bidi="ar"/>
              </w:rPr>
            </w:pPr>
            <w:r>
              <w:rPr>
                <w:rFonts w:hint="eastAsia" w:ascii="仿宋_GB2312" w:hAnsi="Times New Roman" w:eastAsia="仿宋_GB2312" w:cs="仿宋_GB2312"/>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64</w:t>
            </w:r>
            <w:r>
              <w:rPr>
                <w:rFonts w:hint="eastAsia" w:ascii="仿宋_GB2312" w:hAnsi="Times New Roman" w:eastAsia="仿宋_GB2312" w:cs="仿宋_GB2312"/>
                <w:i w:val="0"/>
                <w:iCs w:val="0"/>
                <w:color w:val="000000"/>
                <w:kern w:val="0"/>
                <w:sz w:val="22"/>
                <w:szCs w:val="22"/>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18</w:t>
            </w:r>
          </w:p>
        </w:tc>
        <w:tc>
          <w:tcPr>
            <w:tcW w:w="8499" w:type="dxa"/>
            <w:shd w:val="clear" w:color="auto" w:fill="auto"/>
            <w:vAlign w:val="center"/>
          </w:tcPr>
          <w:p>
            <w:pPr>
              <w:keepNext w:val="0"/>
              <w:keepLines w:val="0"/>
              <w:widowControl/>
              <w:suppressLineNumbers w:val="0"/>
              <w:jc w:val="left"/>
              <w:textAlignment w:val="center"/>
              <w:rPr>
                <w:rFonts w:ascii="仿宋_GB2312" w:hAnsi="Times New Roman" w:eastAsia="仿宋_GB2312" w:cs="仿宋_GB2312"/>
                <w:i w:val="0"/>
                <w:iCs w:val="0"/>
                <w:color w:val="000000"/>
                <w:kern w:val="0"/>
                <w:sz w:val="24"/>
                <w:szCs w:val="24"/>
                <w:u w:val="none"/>
                <w:lang w:val="en-US" w:eastAsia="zh-CN" w:bidi="ar"/>
              </w:rPr>
            </w:pPr>
            <w:r>
              <w:rPr>
                <w:rFonts w:ascii="仿宋_GB2312" w:hAnsi="Times New Roman" w:eastAsia="仿宋_GB2312" w:cs="仿宋_GB2312"/>
                <w:i w:val="0"/>
                <w:iCs w:val="0"/>
                <w:color w:val="000000"/>
                <w:kern w:val="0"/>
                <w:sz w:val="24"/>
                <w:szCs w:val="24"/>
                <w:u w:val="none"/>
                <w:lang w:val="en-US" w:eastAsia="zh-CN" w:bidi="ar"/>
              </w:rPr>
              <w:t>未落实食品安全员日管控、食品安全总监或食品安全员周排查、主要责任人月调度工作机制的，扣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267"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64</w:t>
            </w:r>
            <w:r>
              <w:rPr>
                <w:rFonts w:hint="eastAsia" w:ascii="仿宋_GB2312" w:hAnsi="Times New Roman" w:eastAsia="仿宋_GB2312" w:cs="仿宋_GB2312"/>
                <w:i w:val="0"/>
                <w:iCs w:val="0"/>
                <w:color w:val="000000"/>
                <w:kern w:val="0"/>
                <w:sz w:val="22"/>
                <w:szCs w:val="22"/>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19</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现场未提供食品安全违法行为制止及报告、食品安全事故处置、投诉举报处置相对应的工作记录（无相关内容可提供零报告），扣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267"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64</w:t>
            </w:r>
            <w:r>
              <w:rPr>
                <w:rFonts w:hint="eastAsia" w:ascii="仿宋_GB2312" w:hAnsi="Times New Roman" w:eastAsia="仿宋_GB2312" w:cs="仿宋_GB2312"/>
                <w:i w:val="0"/>
                <w:iCs w:val="0"/>
                <w:color w:val="000000"/>
                <w:kern w:val="0"/>
                <w:sz w:val="22"/>
                <w:szCs w:val="22"/>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存在食用农产品与非食用农产品混放、食用农产品未分区销售行为，扣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267"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64</w:t>
            </w:r>
            <w:r>
              <w:rPr>
                <w:rFonts w:hint="eastAsia" w:ascii="仿宋_GB2312" w:hAnsi="Times New Roman" w:eastAsia="仿宋_GB2312" w:cs="仿宋_GB2312"/>
                <w:i w:val="0"/>
                <w:iCs w:val="0"/>
                <w:color w:val="000000"/>
                <w:kern w:val="0"/>
                <w:sz w:val="22"/>
                <w:szCs w:val="22"/>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21</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存在食用农产品销售场所未按要求公布食用农产品相关信息的，扣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267"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64</w:t>
            </w:r>
            <w:r>
              <w:rPr>
                <w:rFonts w:hint="eastAsia" w:ascii="仿宋_GB2312" w:hAnsi="Times New Roman" w:eastAsia="仿宋_GB2312" w:cs="仿宋_GB2312"/>
                <w:i w:val="0"/>
                <w:iCs w:val="0"/>
                <w:color w:val="000000"/>
                <w:kern w:val="0"/>
                <w:sz w:val="22"/>
                <w:szCs w:val="22"/>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22</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存在销售禁止销售食用农产品等违法违规行为，扣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267"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64</w:t>
            </w:r>
            <w:r>
              <w:rPr>
                <w:rFonts w:hint="eastAsia" w:ascii="仿宋_GB2312" w:hAnsi="Times New Roman" w:eastAsia="仿宋_GB2312" w:cs="仿宋_GB2312"/>
                <w:i w:val="0"/>
                <w:iCs w:val="0"/>
                <w:color w:val="000000"/>
                <w:kern w:val="0"/>
                <w:sz w:val="22"/>
                <w:szCs w:val="22"/>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23</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现场未提供开展定期消杀防疫作业的记录，扣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267"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64</w:t>
            </w:r>
            <w:r>
              <w:rPr>
                <w:rFonts w:hint="eastAsia" w:ascii="仿宋_GB2312" w:hAnsi="Times New Roman" w:eastAsia="仿宋_GB2312" w:cs="仿宋_GB2312"/>
                <w:i w:val="0"/>
                <w:iCs w:val="0"/>
                <w:color w:val="000000"/>
                <w:kern w:val="0"/>
                <w:sz w:val="22"/>
                <w:szCs w:val="22"/>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24</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在售进口冷链食品无</w:t>
            </w:r>
            <w:r>
              <w:rPr>
                <w:rFonts w:hint="default" w:ascii="Times New Roman" w:hAnsi="Times New Roman" w:eastAsia="宋体" w:cs="Times New Roman"/>
                <w:i w:val="0"/>
                <w:iCs w:val="0"/>
                <w:color w:val="000000"/>
                <w:kern w:val="0"/>
                <w:sz w:val="24"/>
                <w:szCs w:val="24"/>
                <w:u w:val="none"/>
                <w:lang w:val="en-US" w:eastAsia="zh-CN" w:bidi="ar"/>
              </w:rPr>
              <w:t>“</w:t>
            </w:r>
            <w:r>
              <w:rPr>
                <w:rFonts w:ascii="仿宋_GB2312" w:hAnsi="Times New Roman" w:eastAsia="仿宋_GB2312" w:cs="仿宋_GB2312"/>
                <w:i w:val="0"/>
                <w:iCs w:val="0"/>
                <w:color w:val="000000"/>
                <w:kern w:val="0"/>
                <w:sz w:val="24"/>
                <w:szCs w:val="24"/>
                <w:u w:val="none"/>
                <w:lang w:val="en-US" w:eastAsia="zh-CN" w:bidi="ar"/>
              </w:rPr>
              <w:t>三证一码</w:t>
            </w:r>
            <w:r>
              <w:rPr>
                <w:rFonts w:hint="default" w:ascii="Times New Roman" w:hAnsi="Times New Roman" w:eastAsia="宋体" w:cs="Times New Roman"/>
                <w:i w:val="0"/>
                <w:iCs w:val="0"/>
                <w:color w:val="000000"/>
                <w:kern w:val="0"/>
                <w:sz w:val="24"/>
                <w:szCs w:val="24"/>
                <w:u w:val="none"/>
                <w:lang w:val="en-US" w:eastAsia="zh-CN" w:bidi="ar"/>
              </w:rPr>
              <w:t>”</w:t>
            </w:r>
            <w:r>
              <w:rPr>
                <w:rFonts w:ascii="仿宋_GB2312" w:hAnsi="Times New Roman" w:eastAsia="仿宋_GB2312" w:cs="仿宋_GB2312"/>
                <w:i w:val="0"/>
                <w:iCs w:val="0"/>
                <w:color w:val="000000"/>
                <w:kern w:val="0"/>
                <w:sz w:val="24"/>
                <w:szCs w:val="24"/>
                <w:u w:val="none"/>
                <w:lang w:val="en-US" w:eastAsia="zh-CN" w:bidi="ar"/>
              </w:rPr>
              <w:t>（入境货物检验检疫证明、核酸检测</w:t>
            </w:r>
            <w:r>
              <w:rPr>
                <w:rFonts w:hint="eastAsia" w:ascii="仿宋_GB2312" w:hAnsi="Times New Roman" w:eastAsia="仿宋_GB2312" w:cs="仿宋_GB2312"/>
                <w:i w:val="0"/>
                <w:iCs w:val="0"/>
                <w:color w:val="000000"/>
                <w:kern w:val="0"/>
                <w:sz w:val="24"/>
                <w:szCs w:val="24"/>
                <w:u w:val="none"/>
                <w:lang w:val="en-US" w:eastAsia="zh-CN" w:bidi="ar"/>
              </w:rPr>
              <w:t>合格</w:t>
            </w:r>
            <w:r>
              <w:rPr>
                <w:rFonts w:ascii="仿宋_GB2312" w:hAnsi="Times New Roman" w:eastAsia="仿宋_GB2312" w:cs="仿宋_GB2312"/>
                <w:i w:val="0"/>
                <w:iCs w:val="0"/>
                <w:color w:val="000000"/>
                <w:kern w:val="0"/>
                <w:sz w:val="24"/>
                <w:szCs w:val="24"/>
                <w:u w:val="none"/>
                <w:lang w:val="en-US" w:eastAsia="zh-CN" w:bidi="ar"/>
              </w:rPr>
              <w:t>证明、消毒证明、追溯码）的，扣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267"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64</w:t>
            </w:r>
            <w:r>
              <w:rPr>
                <w:rFonts w:hint="eastAsia" w:ascii="仿宋_GB2312" w:hAnsi="Times New Roman" w:eastAsia="仿宋_GB2312" w:cs="仿宋_GB2312"/>
                <w:i w:val="0"/>
                <w:iCs w:val="0"/>
                <w:color w:val="000000"/>
                <w:kern w:val="0"/>
                <w:sz w:val="22"/>
                <w:szCs w:val="22"/>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25</w:t>
            </w:r>
          </w:p>
        </w:tc>
        <w:tc>
          <w:tcPr>
            <w:tcW w:w="8499"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经营区域未做到干湿分离，扣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0" w:type="dxa"/>
            <w:vMerge w:val="continue"/>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267"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65</w:t>
            </w:r>
            <w:r>
              <w:rPr>
                <w:rFonts w:hint="eastAsia" w:ascii="仿宋_GB2312" w:hAnsi="Times New Roman" w:eastAsia="仿宋_GB2312" w:cs="仿宋_GB2312"/>
                <w:i w:val="0"/>
                <w:iCs w:val="0"/>
                <w:color w:val="000000"/>
                <w:kern w:val="0"/>
                <w:sz w:val="22"/>
                <w:szCs w:val="22"/>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26</w:t>
            </w:r>
          </w:p>
        </w:tc>
        <w:tc>
          <w:tcPr>
            <w:tcW w:w="8499"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未按规定落实食品安全自查制度，未定期开展食品安全自查，自查报告率未达到</w:t>
            </w:r>
            <w:r>
              <w:rPr>
                <w:rFonts w:hint="default" w:ascii="Times New Roman" w:hAnsi="Times New Roman" w:eastAsia="宋体" w:cs="Times New Roman"/>
                <w:i w:val="0"/>
                <w:iCs w:val="0"/>
                <w:color w:val="000000"/>
                <w:kern w:val="0"/>
                <w:sz w:val="24"/>
                <w:szCs w:val="24"/>
                <w:u w:val="none"/>
                <w:lang w:val="en-US" w:eastAsia="zh-CN" w:bidi="ar"/>
              </w:rPr>
              <w:t>100%</w:t>
            </w:r>
            <w:r>
              <w:rPr>
                <w:rFonts w:ascii="仿宋_GB2312" w:hAnsi="Times New Roman" w:eastAsia="仿宋_GB2312" w:cs="仿宋_GB2312"/>
                <w:i w:val="0"/>
                <w:iCs w:val="0"/>
                <w:color w:val="000000"/>
                <w:kern w:val="0"/>
                <w:sz w:val="24"/>
                <w:szCs w:val="24"/>
                <w:u w:val="none"/>
                <w:lang w:val="en-US" w:eastAsia="zh-CN" w:bidi="ar"/>
              </w:rPr>
              <w:t>，扣</w:t>
            </w:r>
            <w:r>
              <w:rPr>
                <w:rFonts w:hint="default" w:ascii="Times New Roman" w:hAnsi="Times New Roman" w:eastAsia="宋体" w:cs="Times New Roman"/>
                <w:i w:val="0"/>
                <w:iCs w:val="0"/>
                <w:color w:val="000000"/>
                <w:kern w:val="0"/>
                <w:sz w:val="24"/>
                <w:szCs w:val="24"/>
                <w:u w:val="none"/>
                <w:lang w:val="en-US" w:eastAsia="zh-CN" w:bidi="ar"/>
              </w:rPr>
              <w:t>1</w:t>
            </w:r>
            <w:r>
              <w:rPr>
                <w:rFonts w:ascii="仿宋_GB2312" w:hAnsi="Times New Roman" w:eastAsia="仿宋_GB2312" w:cs="仿宋_GB2312"/>
                <w:i w:val="0"/>
                <w:iCs w:val="0"/>
                <w:color w:val="000000"/>
                <w:kern w:val="0"/>
                <w:sz w:val="24"/>
                <w:szCs w:val="24"/>
                <w:u w:val="none"/>
                <w:lang w:val="en-US" w:eastAsia="zh-CN" w:bidi="ar"/>
              </w:rPr>
              <w:t>分。</w:t>
            </w:r>
          </w:p>
        </w:tc>
      </w:tr>
    </w:tbl>
    <w:p>
      <w:pPr>
        <w:spacing w:beforeLines="50" w:line="360" w:lineRule="exact"/>
        <w:jc w:val="left"/>
        <w:rPr>
          <w:rFonts w:ascii="Times New Roman" w:hAnsi="Times New Roman" w:eastAsia="楷体_GB2312"/>
          <w:sz w:val="28"/>
          <w:szCs w:val="28"/>
        </w:rPr>
      </w:pPr>
      <w:r>
        <w:rPr>
          <w:rFonts w:ascii="Times New Roman" w:hAnsi="Times New Roman" w:eastAsia="楷体_GB2312"/>
          <w:sz w:val="28"/>
          <w:szCs w:val="28"/>
        </w:rPr>
        <w:br w:type="page"/>
      </w:r>
      <w:r>
        <w:rPr>
          <w:rFonts w:hint="eastAsia" w:ascii="Times New Roman" w:hAnsi="Times New Roman" w:eastAsia="楷体_GB2312"/>
          <w:sz w:val="28"/>
          <w:szCs w:val="28"/>
        </w:rPr>
        <w:t>注：</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1.“（5</w:t>
      </w:r>
      <w:r>
        <w:rPr>
          <w:rFonts w:hint="eastAsia" w:ascii="Times New Roman" w:hAnsi="Times New Roman" w:eastAsia="楷体_GB2312"/>
          <w:sz w:val="28"/>
          <w:szCs w:val="28"/>
          <w:lang w:val="en-US" w:eastAsia="zh-CN"/>
        </w:rPr>
        <w:t>1</w:t>
      </w:r>
      <w:r>
        <w:rPr>
          <w:rFonts w:hint="eastAsia" w:ascii="Times New Roman" w:hAnsi="Times New Roman" w:eastAsia="楷体_GB2312"/>
          <w:sz w:val="28"/>
          <w:szCs w:val="28"/>
        </w:rPr>
        <w:t>）食品生产经营企业建立健全食品安全管理制度，设置食品质量安全管理岗位，加大食品质量安全管理投入”中，（1）“加大食品安全管理投入”包括但不限于用于改进食品安全风险管控的设备设施、追溯体系信息化建设、食品安全管理人员培训、实验室建设等。（2）食品生产企业食品安全管理制度，主要为食品安全法及其实施条例规定的企业需要建立的相关制度。</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2.“（5</w:t>
      </w:r>
      <w:r>
        <w:rPr>
          <w:rFonts w:hint="eastAsia" w:ascii="Times New Roman" w:hAnsi="Times New Roman" w:eastAsia="楷体_GB2312"/>
          <w:sz w:val="28"/>
          <w:szCs w:val="28"/>
          <w:lang w:val="en-US" w:eastAsia="zh-CN"/>
        </w:rPr>
        <w:t>2</w:t>
      </w:r>
      <w:r>
        <w:rPr>
          <w:rFonts w:hint="eastAsia" w:ascii="Times New Roman" w:hAnsi="Times New Roman" w:eastAsia="楷体_GB2312"/>
          <w:sz w:val="28"/>
          <w:szCs w:val="28"/>
        </w:rPr>
        <w:t>）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中，“集中培训”包括但不限于各级监管部门、行业组织、企业组织的相对集中的食品安全法律法规等培训。</w:t>
      </w: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5A8C25F7"/>
    <w:rsid w:val="081B5EF0"/>
    <w:rsid w:val="0AC85742"/>
    <w:rsid w:val="118A0FD0"/>
    <w:rsid w:val="184473D8"/>
    <w:rsid w:val="1BB10A7E"/>
    <w:rsid w:val="1EF34102"/>
    <w:rsid w:val="2CB50578"/>
    <w:rsid w:val="2CDA6E30"/>
    <w:rsid w:val="33E552A9"/>
    <w:rsid w:val="35F029FD"/>
    <w:rsid w:val="43067708"/>
    <w:rsid w:val="456926CF"/>
    <w:rsid w:val="4605452E"/>
    <w:rsid w:val="46E502D3"/>
    <w:rsid w:val="4F365D17"/>
    <w:rsid w:val="509251CF"/>
    <w:rsid w:val="50BD5D72"/>
    <w:rsid w:val="56811F6E"/>
    <w:rsid w:val="5A8C25F7"/>
    <w:rsid w:val="67777244"/>
    <w:rsid w:val="689E5B40"/>
    <w:rsid w:val="69AB1B12"/>
    <w:rsid w:val="6AE23A6C"/>
    <w:rsid w:val="6BDB79E0"/>
    <w:rsid w:val="6D796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keepLines/>
      <w:tabs>
        <w:tab w:val="left" w:pos="0"/>
      </w:tabs>
      <w:adjustRightInd w:val="0"/>
      <w:snapToGrid w:val="0"/>
      <w:spacing w:line="240" w:lineRule="auto"/>
      <w:ind w:firstLine="0" w:firstLineChars="0"/>
      <w:jc w:val="center"/>
      <w:outlineLvl w:val="0"/>
    </w:pPr>
    <w:rPr>
      <w:rFonts w:ascii="Times New Roman" w:hAnsi="Times New Roman" w:eastAsia="方正小标宋简体" w:cs="Times New Roman"/>
      <w:bCs/>
      <w:kern w:val="44"/>
      <w:sz w:val="44"/>
      <w:szCs w:val="44"/>
    </w:rPr>
  </w:style>
  <w:style w:type="paragraph" w:styleId="5">
    <w:name w:val="heading 2"/>
    <w:basedOn w:val="6"/>
    <w:next w:val="1"/>
    <w:semiHidden/>
    <w:unhideWhenUsed/>
    <w:qFormat/>
    <w:uiPriority w:val="0"/>
    <w:pPr>
      <w:keepNext/>
      <w:keepLines/>
      <w:adjustRightInd w:val="0"/>
      <w:snapToGrid w:val="0"/>
      <w:spacing w:beforeLines="0" w:beforeAutospacing="0" w:afterLines="0" w:afterAutospacing="0" w:line="600" w:lineRule="exact"/>
      <w:outlineLvl w:val="1"/>
    </w:pPr>
    <w:rPr>
      <w:rFonts w:ascii="Arial" w:hAnsi="Arial" w:eastAsia="华文仿宋"/>
      <w:sz w:val="32"/>
      <w:szCs w:val="22"/>
    </w:rPr>
  </w:style>
  <w:style w:type="paragraph" w:styleId="8">
    <w:name w:val="heading 3"/>
    <w:basedOn w:val="9"/>
    <w:next w:val="1"/>
    <w:semiHidden/>
    <w:unhideWhenUsed/>
    <w:qFormat/>
    <w:uiPriority w:val="0"/>
    <w:pPr>
      <w:keepNext/>
      <w:keepLines/>
      <w:tabs>
        <w:tab w:val="left" w:pos="0"/>
      </w:tabs>
      <w:spacing w:before="2" w:beforeLines="0" w:beforeAutospacing="0" w:afterLines="0" w:afterAutospacing="0" w:line="600" w:lineRule="exact"/>
      <w:outlineLvl w:val="2"/>
    </w:pPr>
    <w:rPr>
      <w:rFonts w:ascii="Times New Roman" w:hAnsi="Times New Roman" w:eastAsia="楷体_GB2312"/>
      <w:b/>
    </w:rPr>
  </w:style>
  <w:style w:type="paragraph" w:styleId="11">
    <w:name w:val="heading 4"/>
    <w:basedOn w:val="1"/>
    <w:next w:val="1"/>
    <w:semiHidden/>
    <w:unhideWhenUsed/>
    <w:qFormat/>
    <w:uiPriority w:val="0"/>
    <w:pPr>
      <w:keepNext/>
      <w:keepLines/>
      <w:adjustRightInd w:val="0"/>
      <w:snapToGrid w:val="0"/>
      <w:spacing w:beforeLines="0" w:beforeAutospacing="0" w:afterLines="0" w:afterAutospacing="0" w:line="600" w:lineRule="exact"/>
      <w:outlineLvl w:val="3"/>
    </w:pPr>
    <w:rPr>
      <w:rFonts w:ascii="Times New Roman" w:hAnsi="Times New Roman" w:eastAsia="仿宋_GB2312" w:cs="Times New Roman"/>
      <w:sz w:val="32"/>
    </w:rPr>
  </w:style>
  <w:style w:type="character" w:default="1" w:styleId="14">
    <w:name w:val="Default Paragraph Font"/>
    <w:semiHidden/>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uiPriority w:val="0"/>
    <w:pPr>
      <w:spacing w:after="120" w:afterLines="0" w:afterAutospacing="0"/>
      <w:ind w:left="420" w:leftChars="200"/>
    </w:pPr>
  </w:style>
  <w:style w:type="paragraph" w:styleId="6">
    <w:name w:val="index heading"/>
    <w:basedOn w:val="1"/>
    <w:next w:val="7"/>
    <w:uiPriority w:val="0"/>
    <w:rPr>
      <w:rFonts w:ascii="Arial" w:hAnsi="Arial"/>
      <w:b/>
    </w:rPr>
  </w:style>
  <w:style w:type="paragraph" w:styleId="7">
    <w:name w:val="index 1"/>
    <w:basedOn w:val="1"/>
    <w:next w:val="1"/>
    <w:qFormat/>
    <w:uiPriority w:val="0"/>
  </w:style>
  <w:style w:type="paragraph" w:customStyle="1" w:styleId="9">
    <w:name w:val="一级标题"/>
    <w:basedOn w:val="10"/>
    <w:link w:val="15"/>
    <w:uiPriority w:val="0"/>
    <w:pPr>
      <w:tabs>
        <w:tab w:val="left" w:pos="0"/>
      </w:tabs>
      <w:spacing w:line="600" w:lineRule="exact"/>
      <w:ind w:firstLine="640"/>
      <w:jc w:val="left"/>
    </w:pPr>
    <w:rPr>
      <w:rFonts w:hint="eastAsia" w:ascii="黑体" w:hAnsi="黑体" w:eastAsia="黑体" w:cs="黑体"/>
      <w:sz w:val="32"/>
      <w:szCs w:val="32"/>
    </w:rPr>
  </w:style>
  <w:style w:type="paragraph" w:styleId="10">
    <w:name w:val="toa heading"/>
    <w:basedOn w:val="1"/>
    <w:next w:val="1"/>
    <w:uiPriority w:val="0"/>
    <w:pPr>
      <w:spacing w:before="120" w:beforeLines="0" w:beforeAutospacing="0"/>
    </w:pPr>
    <w:rPr>
      <w:rFonts w:ascii="Arial" w:hAnsi="Arial"/>
      <w:sz w:val="24"/>
    </w:rPr>
  </w:style>
  <w:style w:type="paragraph" w:styleId="12">
    <w:name w:val="Body Text"/>
    <w:basedOn w:val="1"/>
    <w:uiPriority w:val="0"/>
    <w:pPr>
      <w:spacing w:after="120" w:afterLines="0" w:afterAutospacing="0"/>
    </w:pPr>
  </w:style>
  <w:style w:type="character" w:customStyle="1" w:styleId="15">
    <w:name w:val="一级标题 Char"/>
    <w:link w:val="9"/>
    <w:qFormat/>
    <w:uiPriority w:val="0"/>
    <w:rPr>
      <w:rFonts w:hint="eastAsia" w:ascii="黑体" w:hAnsi="黑体" w:eastAsia="黑体" w:cs="黑体"/>
      <w:sz w:val="32"/>
      <w:szCs w:val="32"/>
    </w:rPr>
  </w:style>
  <w:style w:type="paragraph" w:customStyle="1" w:styleId="16">
    <w:name w:val="表标题"/>
    <w:basedOn w:val="1"/>
    <w:next w:val="12"/>
    <w:uiPriority w:val="0"/>
    <w:pPr>
      <w:spacing w:line="240" w:lineRule="auto"/>
      <w:jc w:val="center"/>
    </w:pPr>
    <w:rPr>
      <w:rFonts w:hint="eastAsia" w:ascii="楷体_GB2312" w:hAnsi="楷体_GB2312" w:eastAsia="楷体_GB2312" w:cs="楷体_GB2312"/>
      <w:b/>
      <w:bCs/>
      <w:sz w:val="24"/>
      <w:szCs w:val="24"/>
      <w:u w:val="none" w:color="auto"/>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2023-01-06T09:27:00Z</dcterms:created>
  <dc:creator>~阳光D海岸~</dc:creator>
  <cp:lastModifiedBy>~阳光D海岸~</cp:lastModifiedBy>
  <dcterms:modified xsi:type="dcterms:W3CDTF">2023-01-06T09:30:20Z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5700D427E5B24B1FBE0FD7C6ADA26E86</vt:lpwstr>
  </property>
</Properties>
</file>