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600" w:lineRule="exact"/>
        <w:jc w:val="left"/>
        <w:rPr>
          <w:rFonts w:ascii="Times New Roman" w:hAnsi="Times New Roman" w:eastAsia="黑体"/>
          <w:sz w:val="32"/>
          <w:szCs w:val="32"/>
        </w:rPr>
      </w:pPr>
      <w:r>
        <w:rPr>
          <w:rFonts w:ascii="Times New Roman" w:hAnsi="Times New Roman" w:eastAsia="黑体"/>
          <w:sz w:val="32"/>
          <w:szCs w:val="32"/>
        </w:rPr>
        <w:t>明查表</w:t>
      </w:r>
      <w:r>
        <w:rPr>
          <w:rFonts w:hint="eastAsia" w:ascii="Times New Roman" w:hAnsi="Times New Roman" w:eastAsia="黑体"/>
          <w:sz w:val="32"/>
          <w:szCs w:val="32"/>
          <w:lang w:val="en-US" w:eastAsia="zh-CN"/>
        </w:rPr>
        <w:t>6</w:t>
      </w:r>
    </w:p>
    <w:p>
      <w:pPr>
        <w:tabs>
          <w:tab w:val="left" w:pos="11340"/>
        </w:tabs>
        <w:spacing w:beforeLines="50" w:line="600" w:lineRule="exact"/>
        <w:jc w:val="center"/>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lang w:val="en-US" w:eastAsia="zh-CN"/>
        </w:rPr>
        <w:t>中小学、</w:t>
      </w:r>
      <w:r>
        <w:rPr>
          <w:rFonts w:hint="eastAsia" w:ascii="方正小标宋简体" w:hAnsi="方正小标宋简体" w:eastAsia="方正小标宋简体" w:cs="方正小标宋简体"/>
          <w:sz w:val="36"/>
          <w:szCs w:val="36"/>
        </w:rPr>
        <w:t>幼儿园</w:t>
      </w:r>
      <w:r>
        <w:rPr>
          <w:rFonts w:hint="eastAsia" w:ascii="方正小标宋简体" w:hAnsi="方正小标宋简体" w:eastAsia="方正小标宋简体" w:cs="方正小标宋简体"/>
          <w:sz w:val="36"/>
          <w:szCs w:val="36"/>
          <w:lang w:val="en-US" w:eastAsia="zh-CN"/>
        </w:rPr>
        <w:t>食堂</w:t>
      </w:r>
      <w:r>
        <w:rPr>
          <w:rFonts w:hint="eastAsia" w:ascii="方正小标宋简体" w:hAnsi="方正小标宋简体" w:eastAsia="方正小标宋简体" w:cs="方正小标宋简体"/>
          <w:sz w:val="36"/>
          <w:szCs w:val="36"/>
        </w:rPr>
        <w:t>食品安全</w:t>
      </w:r>
      <w:r>
        <w:rPr>
          <w:rFonts w:hint="eastAsia" w:ascii="方正小标宋简体" w:hAnsi="方正小标宋简体" w:eastAsia="方正小标宋简体" w:cs="方正小标宋简体"/>
          <w:sz w:val="36"/>
          <w:szCs w:val="36"/>
          <w:lang w:val="en-US" w:eastAsia="zh-CN"/>
        </w:rPr>
        <w:t>明查打分表</w:t>
      </w:r>
      <w:bookmarkEnd w:id="0"/>
    </w:p>
    <w:p>
      <w:pPr>
        <w:ind w:firstLine="240" w:firstLineChars="100"/>
        <w:rPr>
          <w:rFonts w:hint="eastAsia" w:ascii="黑体" w:hAnsi="黑体" w:eastAsia="黑体" w:cs="黑体"/>
          <w:color w:val="auto"/>
          <w:sz w:val="24"/>
          <w:szCs w:val="24"/>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业态类型：中小学、幼儿园食堂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0"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7"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499"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未建立校园集中用餐陪餐制度的，扣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现场未提供学校相关负责人集中用餐陪餐记录（需每餐都有相应的配餐记录，陪餐人员可以是多位负责人轮流），扣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现场未提供签订的校长（园长）负责制责任状，扣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w:t>
            </w:r>
            <w:r>
              <w:rPr>
                <w:rFonts w:hint="eastAsia" w:ascii="仿宋_GB2312" w:hAnsi="Times New Roman" w:eastAsia="仿宋_GB2312" w:cs="仿宋_GB2312"/>
                <w:i w:val="0"/>
                <w:iCs w:val="0"/>
                <w:color w:val="000000"/>
                <w:kern w:val="0"/>
                <w:sz w:val="24"/>
                <w:szCs w:val="24"/>
                <w:u w:val="none"/>
                <w:lang w:val="en-US" w:eastAsia="zh-CN" w:bidi="ar"/>
              </w:rPr>
              <w:t>使用或生产假冒伪劣食品、非法添加行为的，扣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企业至少有</w:t>
            </w:r>
            <w:r>
              <w:rPr>
                <w:rFonts w:hint="default" w:ascii="Times New Roman" w:hAnsi="Times New Roman" w:eastAsia="宋体" w:cs="Times New Roman"/>
                <w:i w:val="0"/>
                <w:iCs w:val="0"/>
                <w:color w:val="000000"/>
                <w:kern w:val="0"/>
                <w:sz w:val="24"/>
                <w:szCs w:val="24"/>
                <w:u w:val="none"/>
                <w:lang w:val="en-US" w:eastAsia="zh-CN" w:bidi="ar"/>
              </w:rPr>
              <w:t>8</w:t>
            </w:r>
            <w:r>
              <w:rPr>
                <w:rFonts w:ascii="仿宋_GB2312" w:hAnsi="Times New Roman" w:eastAsia="仿宋_GB2312" w:cs="仿宋_GB2312"/>
                <w:i w:val="0"/>
                <w:iCs w:val="0"/>
                <w:color w:val="000000"/>
                <w:kern w:val="0"/>
                <w:sz w:val="24"/>
                <w:szCs w:val="24"/>
                <w:u w:val="none"/>
                <w:lang w:val="en-US" w:eastAsia="zh-CN" w:bidi="ar"/>
              </w:rPr>
              <w:t>项食品安全管理制度：⑴有食品安全自查制度、⑵进货查验记录制度、⑶从业人员健康管理制度、⑷食品安全培训考核制度、⑸投诉举报制度、⑹食品安全事故处置方案、⑺校园集中用餐陪餐制度、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现场未提供《食品安全总监职责》（用餐人数</w:t>
            </w:r>
            <w:r>
              <w:rPr>
                <w:rFonts w:hint="default" w:ascii="Times New Roman" w:hAnsi="Times New Roman" w:eastAsia="宋体" w:cs="Times New Roman"/>
                <w:i w:val="0"/>
                <w:iCs w:val="0"/>
                <w:color w:val="000000"/>
                <w:kern w:val="0"/>
                <w:sz w:val="24"/>
                <w:szCs w:val="24"/>
                <w:u w:val="none"/>
                <w:lang w:val="en-US" w:eastAsia="zh-CN" w:bidi="ar"/>
              </w:rPr>
              <w:t>300</w:t>
            </w:r>
            <w:r>
              <w:rPr>
                <w:rFonts w:ascii="仿宋_GB2312" w:hAnsi="Times New Roman" w:eastAsia="仿宋_GB2312" w:cs="仿宋_GB2312"/>
                <w:i w:val="0"/>
                <w:iCs w:val="0"/>
                <w:color w:val="000000"/>
                <w:kern w:val="0"/>
                <w:sz w:val="24"/>
                <w:szCs w:val="24"/>
                <w:u w:val="none"/>
                <w:lang w:val="en-US" w:eastAsia="zh-CN" w:bidi="ar"/>
              </w:rPr>
              <w:t>人以上的幼儿园食堂、用餐人数</w:t>
            </w:r>
            <w:r>
              <w:rPr>
                <w:rFonts w:hint="default" w:ascii="Times New Roman" w:hAnsi="Times New Roman" w:eastAsia="宋体" w:cs="Times New Roman"/>
                <w:i w:val="0"/>
                <w:iCs w:val="0"/>
                <w:color w:val="000000"/>
                <w:kern w:val="0"/>
                <w:sz w:val="24"/>
                <w:szCs w:val="24"/>
                <w:u w:val="none"/>
                <w:lang w:val="en-US" w:eastAsia="zh-CN" w:bidi="ar"/>
              </w:rPr>
              <w:t>500</w:t>
            </w:r>
            <w:r>
              <w:rPr>
                <w:rFonts w:ascii="仿宋_GB2312" w:hAnsi="Times New Roman" w:eastAsia="仿宋_GB2312" w:cs="仿宋_GB2312"/>
                <w:i w:val="0"/>
                <w:iCs w:val="0"/>
                <w:color w:val="000000"/>
                <w:kern w:val="0"/>
                <w:sz w:val="24"/>
                <w:szCs w:val="24"/>
                <w:u w:val="none"/>
                <w:lang w:val="en-US" w:eastAsia="zh-CN" w:bidi="ar"/>
              </w:rPr>
              <w:t>人以上的学校食堂提供）、《食品安全员守则》文件，扣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未明确主要负责人、食品安全总监（用餐人数</w:t>
            </w:r>
            <w:r>
              <w:rPr>
                <w:rFonts w:hint="default" w:ascii="Times New Roman" w:hAnsi="Times New Roman" w:eastAsia="宋体" w:cs="Times New Roman"/>
                <w:i w:val="0"/>
                <w:iCs w:val="0"/>
                <w:color w:val="000000"/>
                <w:kern w:val="0"/>
                <w:sz w:val="24"/>
                <w:szCs w:val="24"/>
                <w:u w:val="none"/>
                <w:lang w:val="en-US" w:eastAsia="zh-CN" w:bidi="ar"/>
              </w:rPr>
              <w:t>300</w:t>
            </w:r>
            <w:r>
              <w:rPr>
                <w:rFonts w:ascii="仿宋_GB2312" w:hAnsi="Times New Roman" w:eastAsia="仿宋_GB2312" w:cs="仿宋_GB2312"/>
                <w:i w:val="0"/>
                <w:iCs w:val="0"/>
                <w:color w:val="000000"/>
                <w:kern w:val="0"/>
                <w:sz w:val="24"/>
                <w:szCs w:val="24"/>
                <w:u w:val="none"/>
                <w:lang w:val="en-US" w:eastAsia="zh-CN" w:bidi="ar"/>
              </w:rPr>
              <w:t>人以上的幼儿园食堂、用餐人数</w:t>
            </w:r>
            <w:r>
              <w:rPr>
                <w:rFonts w:hint="default" w:ascii="Times New Roman" w:hAnsi="Times New Roman" w:eastAsia="宋体" w:cs="Times New Roman"/>
                <w:i w:val="0"/>
                <w:iCs w:val="0"/>
                <w:color w:val="000000"/>
                <w:kern w:val="0"/>
                <w:sz w:val="24"/>
                <w:szCs w:val="24"/>
                <w:u w:val="none"/>
                <w:lang w:val="en-US" w:eastAsia="zh-CN" w:bidi="ar"/>
              </w:rPr>
              <w:t>500</w:t>
            </w:r>
            <w:r>
              <w:rPr>
                <w:rFonts w:ascii="仿宋_GB2312" w:hAnsi="Times New Roman" w:eastAsia="仿宋_GB2312" w:cs="仿宋_GB2312"/>
                <w:i w:val="0"/>
                <w:iCs w:val="0"/>
                <w:color w:val="000000"/>
                <w:kern w:val="0"/>
                <w:sz w:val="24"/>
                <w:szCs w:val="24"/>
                <w:u w:val="none"/>
                <w:lang w:val="en-US" w:eastAsia="zh-CN" w:bidi="ar"/>
              </w:rPr>
              <w:t>人以上的学校食堂配备）、食品安全员等人员的设立及调整情况的，扣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现场未提供监督管理部门对食品安全管理员（食品安全总监和食品安全员）进行监督抽查考核记录及考核合格结果，扣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《食品经营许可证》未在有效期内的，扣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存在企业未按照许可范围经营的，扣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现场未提供《从业人员晨检记录》，且晨检内容不完全的，扣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晨检记录应包括对从业人员上岗前是否患有发热、腹泻、咽部炎症等病症及皮肤有伤口或感染情况进行检查。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从事接触直接入口食品工作的从业人员个人卫生状况不符合要求的，扣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从业人员个人卫生要求：不得留长指甲、涂指甲油。工作时，应穿清洁的工作服，不得披散头发，佩戴的手表、手镯、手链、手串、戒指、耳环等饰物不得外露。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发现校外</w:t>
            </w:r>
            <w:r>
              <w:rPr>
                <w:rFonts w:hint="default" w:ascii="Times New Roman" w:hAnsi="Times New Roman" w:eastAsia="宋体" w:cs="Times New Roman"/>
                <w:i w:val="0"/>
                <w:iCs w:val="0"/>
                <w:color w:val="000000"/>
                <w:kern w:val="0"/>
                <w:sz w:val="24"/>
                <w:szCs w:val="24"/>
                <w:u w:val="none"/>
                <w:lang w:val="en-US" w:eastAsia="zh-CN" w:bidi="ar"/>
              </w:rPr>
              <w:t>200</w:t>
            </w:r>
            <w:r>
              <w:rPr>
                <w:rFonts w:ascii="仿宋_GB2312" w:hAnsi="Times New Roman" w:eastAsia="仿宋_GB2312" w:cs="仿宋_GB2312"/>
                <w:i w:val="0"/>
                <w:iCs w:val="0"/>
                <w:color w:val="000000"/>
                <w:kern w:val="0"/>
                <w:sz w:val="24"/>
                <w:szCs w:val="24"/>
                <w:u w:val="none"/>
                <w:lang w:val="en-US" w:eastAsia="zh-CN" w:bidi="ar"/>
              </w:rPr>
              <w:t>米内的食品生产经营单位有无证经营的，扣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现场抽查</w:t>
            </w:r>
            <w:r>
              <w:rPr>
                <w:rFonts w:hint="default" w:ascii="Times New Roman" w:hAnsi="Times New Roman" w:eastAsia="宋体" w:cs="Times New Roman"/>
                <w:i w:val="0"/>
                <w:iCs w:val="0"/>
                <w:color w:val="000000"/>
                <w:kern w:val="0"/>
                <w:sz w:val="24"/>
                <w:szCs w:val="24"/>
                <w:u w:val="none"/>
                <w:lang w:val="en-US" w:eastAsia="zh-CN" w:bidi="ar"/>
              </w:rPr>
              <w:t>3</w:t>
            </w:r>
            <w:r>
              <w:rPr>
                <w:rFonts w:ascii="仿宋_GB2312" w:hAnsi="Times New Roman" w:eastAsia="仿宋_GB2312" w:cs="仿宋_GB2312"/>
                <w:i w:val="0"/>
                <w:iCs w:val="0"/>
                <w:color w:val="000000"/>
                <w:kern w:val="0"/>
                <w:sz w:val="24"/>
                <w:szCs w:val="24"/>
                <w:u w:val="none"/>
                <w:lang w:val="en-US" w:eastAsia="zh-CN" w:bidi="ar"/>
              </w:rPr>
              <w:t>种原辅料（含食品相关产品），未履行进货查验义务，或索证索票不全的，扣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食品添加剂未专柜存放、专册记录、专用量具、未明示</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食品添加剂</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字样，扣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添加剂使用记录填写不规范的，扣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存在成品、半成品、原材料存放未分区摆放或摆放未离地离墙的，扣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现场存在使用过期、腐败变质、不符合食品安全标准的食品原辅料的，扣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食品处理区设置未按照原料进入、原料加工制作、半成品加工制作、成品供应的流程合理布局的，扣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不同存在形式的食品（原料、半成品、成品</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的盛放容器和加工制作工具（刀具、菜板）未分类管理、未按标识区分使用（如：颜色、标志、文字等）的，扣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不同食品原料及食品工用具的清洗池或专用容器清洗未分开使用、未按标识区分使用（如：颜色、标志、文字等）的，扣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未设置专用于清洗清洁工具的区域或设施，无明显的区分标识，扣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499"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存在餐饮具的清洗、消毒、保洁设备设施未能运转正常，未对餐饮具进行清洗消毒的，扣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留样食品成品未盛放于专用密闭容器，留样数量少于</w:t>
            </w:r>
            <w:r>
              <w:rPr>
                <w:rFonts w:hint="default" w:ascii="Times New Roman" w:hAnsi="Times New Roman" w:eastAsia="宋体" w:cs="Times New Roman"/>
                <w:i w:val="0"/>
                <w:iCs w:val="0"/>
                <w:color w:val="000000"/>
                <w:kern w:val="0"/>
                <w:sz w:val="24"/>
                <w:szCs w:val="24"/>
                <w:u w:val="none"/>
                <w:lang w:val="en-US" w:eastAsia="zh-CN" w:bidi="ar"/>
              </w:rPr>
              <w:t>125g</w:t>
            </w:r>
            <w:r>
              <w:rPr>
                <w:rFonts w:ascii="仿宋_GB2312" w:hAnsi="Times New Roman" w:eastAsia="仿宋_GB2312" w:cs="仿宋_GB2312"/>
                <w:i w:val="0"/>
                <w:iCs w:val="0"/>
                <w:color w:val="000000"/>
                <w:kern w:val="0"/>
                <w:sz w:val="24"/>
                <w:szCs w:val="24"/>
                <w:u w:val="none"/>
                <w:lang w:val="en-US" w:eastAsia="zh-CN" w:bidi="ar"/>
              </w:rPr>
              <w:t>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未在专用冷藏设备留样柜中冷藏存放</w:t>
            </w:r>
            <w:r>
              <w:rPr>
                <w:rFonts w:hint="default" w:ascii="Times New Roman" w:hAnsi="Times New Roman" w:eastAsia="宋体" w:cs="Times New Roman"/>
                <w:i w:val="0"/>
                <w:iCs w:val="0"/>
                <w:color w:val="000000"/>
                <w:kern w:val="0"/>
                <w:sz w:val="24"/>
                <w:szCs w:val="24"/>
                <w:u w:val="none"/>
                <w:lang w:val="en-US" w:eastAsia="zh-CN" w:bidi="ar"/>
              </w:rPr>
              <w:t>48</w:t>
            </w:r>
            <w:r>
              <w:rPr>
                <w:rFonts w:ascii="仿宋_GB2312" w:hAnsi="Times New Roman" w:eastAsia="仿宋_GB2312" w:cs="仿宋_GB2312"/>
                <w:i w:val="0"/>
                <w:iCs w:val="0"/>
                <w:color w:val="000000"/>
                <w:kern w:val="0"/>
                <w:sz w:val="24"/>
                <w:szCs w:val="24"/>
                <w:u w:val="none"/>
                <w:lang w:val="en-US" w:eastAsia="zh-CN" w:bidi="ar"/>
              </w:rPr>
              <w:t>小时以上，冷藏温度无法满足</w:t>
            </w:r>
            <w:r>
              <w:rPr>
                <w:rFonts w:hint="default" w:ascii="Times New Roman" w:hAnsi="Times New Roman" w:eastAsia="宋体" w:cs="Times New Roman"/>
                <w:i w:val="0"/>
                <w:iCs w:val="0"/>
                <w:color w:val="000000"/>
                <w:kern w:val="0"/>
                <w:sz w:val="24"/>
                <w:szCs w:val="24"/>
                <w:u w:val="none"/>
                <w:lang w:val="en-US" w:eastAsia="zh-CN" w:bidi="ar"/>
              </w:rPr>
              <w:t>0℃</w:t>
            </w: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8℃</w:t>
            </w:r>
            <w:r>
              <w:rPr>
                <w:rFonts w:ascii="仿宋_GB2312" w:hAnsi="Times New Roman" w:eastAsia="仿宋_GB2312" w:cs="仿宋_GB2312"/>
                <w:i w:val="0"/>
                <w:iCs w:val="0"/>
                <w:color w:val="000000"/>
                <w:kern w:val="0"/>
                <w:sz w:val="24"/>
                <w:szCs w:val="24"/>
                <w:u w:val="none"/>
                <w:lang w:val="en-US" w:eastAsia="zh-CN" w:bidi="ar"/>
              </w:rPr>
              <w:t>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留样容器上未标注留样食品名称、留样时间等信息的，扣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未专人管理留样食品及每餐次食品成品的留样记录的，扣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存在专间内温度控制、净水设施、紫外线消毒灯等未有效发挥作用的，扣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未设置餐饮具清洗消毒设施，扣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餐饮具清洗消毒设施未正常运转，扣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存在制售冷荤类食品、生食类食品、裱花蛋糕，或者加工制作四季豆、鲜黄花菜、野生蘑菇、发芽土豆等高风险食品的，扣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现场未提供集中供餐单位签订供餐合同（或者协议），扣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未留存供餐单位签订供餐合同（或者协议）及供餐单位《营业执照》《食品经营许可证》复印件，扣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未按要求每周开展</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仿宋_GB2312" w:hAnsi="Times New Roman" w:eastAsia="仿宋_GB2312" w:cs="仿宋_GB2312"/>
                <w:i w:val="0"/>
                <w:iCs w:val="0"/>
                <w:color w:val="000000"/>
                <w:kern w:val="0"/>
                <w:sz w:val="24"/>
                <w:szCs w:val="24"/>
                <w:u w:val="none"/>
                <w:lang w:val="en-US" w:eastAsia="zh-CN" w:bidi="ar"/>
              </w:rPr>
              <w:t>次自查，未按检查频次提供食品安全自查记录的，扣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8499"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63</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46</w:t>
            </w:r>
          </w:p>
        </w:tc>
        <w:tc>
          <w:tcPr>
            <w:tcW w:w="8499"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Times New Roman" w:eastAsia="仿宋_GB2312" w:cs="仿宋_GB2312"/>
                <w:i w:val="0"/>
                <w:iCs w:val="0"/>
                <w:color w:val="000000"/>
                <w:kern w:val="0"/>
                <w:sz w:val="24"/>
                <w:szCs w:val="24"/>
                <w:u w:val="none"/>
                <w:lang w:val="en-US" w:eastAsia="zh-CN" w:bidi="ar"/>
              </w:rPr>
              <w:t>未推行肉蛋奶、米面油等食品原料大宗食品集中定点采购的，扣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r>
        <w:rPr>
          <w:rFonts w:hint="eastAsia" w:ascii="Times New Roman" w:hAnsi="Times New Roman" w:eastAsia="楷体_GB2312"/>
          <w:sz w:val="28"/>
          <w:szCs w:val="28"/>
        </w:rPr>
        <w:t>4.《学校食品安全与营养健康管理规定》第三十二条规定，有条件的地方或者学校应当实行大宗食品公开招标、集中定点采购制度，签订采购合同时应当明确供货者食品安全责任和义务，保证食品安全。本条规定中，实行大宗食品公开招标、集中定点采购的主体可以是地方，也可以是学校。鼓励建立固定的供货渠道，降低采购成本，防范食品及原料采购中可能出现的各类风险。</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84473D8"/>
    <w:rsid w:val="1BB10A7E"/>
    <w:rsid w:val="1EF34102"/>
    <w:rsid w:val="2CB50578"/>
    <w:rsid w:val="2CDA6E30"/>
    <w:rsid w:val="33E552A9"/>
    <w:rsid w:val="35F029FD"/>
    <w:rsid w:val="43067708"/>
    <w:rsid w:val="456926CF"/>
    <w:rsid w:val="4605452E"/>
    <w:rsid w:val="46E502D3"/>
    <w:rsid w:val="4F365D17"/>
    <w:rsid w:val="509251CF"/>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9B18FA7EA5F1402FB44F0BEF5D9516B7</vt:lpwstr>
  </property>
</Properties>
</file>