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ascii="Times New Roman" w:hAnsi="Times New Roman" w:eastAsia="黑体"/>
          <w:sz w:val="32"/>
          <w:szCs w:val="32"/>
        </w:rPr>
      </w:pPr>
      <w:r>
        <w:rPr>
          <w:rFonts w:ascii="Times New Roman" w:hAnsi="Times New Roman" w:eastAsia="黑体"/>
          <w:sz w:val="32"/>
          <w:szCs w:val="32"/>
        </w:rPr>
        <w:t>明查表</w:t>
      </w:r>
      <w:r>
        <w:rPr>
          <w:rFonts w:hint="eastAsia" w:ascii="Times New Roman" w:hAnsi="Times New Roman" w:eastAsia="黑体"/>
          <w:sz w:val="32"/>
          <w:szCs w:val="32"/>
          <w:lang w:val="en-US" w:eastAsia="zh-CN"/>
        </w:rPr>
        <w:t>5</w:t>
      </w:r>
    </w:p>
    <w:p>
      <w:pPr>
        <w:jc w:val="center"/>
        <w:rPr>
          <w:rFonts w:hint="eastAsia" w:ascii="方正小标宋简体" w:hAnsi="方正小标宋简体" w:eastAsia="方正小标宋简体" w:cs="方正小标宋简体"/>
          <w:sz w:val="36"/>
          <w:szCs w:val="36"/>
          <w:lang w:val="en-US" w:eastAsia="zh-CN"/>
        </w:rPr>
      </w:pPr>
      <w:bookmarkStart w:id="0" w:name="_GoBack"/>
      <w:r>
        <w:rPr>
          <w:rFonts w:hint="eastAsia" w:ascii="方正小标宋简体" w:hAnsi="方正小标宋简体" w:eastAsia="方正小标宋简体" w:cs="方正小标宋简体"/>
          <w:sz w:val="36"/>
          <w:szCs w:val="36"/>
        </w:rPr>
        <w:t>餐饮服务单位（不含小餐饮）</w:t>
      </w:r>
      <w:r>
        <w:rPr>
          <w:rFonts w:hint="eastAsia" w:ascii="方正小标宋简体" w:hAnsi="方正小标宋简体" w:eastAsia="方正小标宋简体" w:cs="方正小标宋简体"/>
          <w:sz w:val="36"/>
          <w:szCs w:val="36"/>
          <w:lang w:val="en-US" w:eastAsia="zh-CN"/>
        </w:rPr>
        <w:t>明查打分表</w:t>
      </w:r>
    </w:p>
    <w:bookmarkEnd w:id="0"/>
    <w:p>
      <w:pPr>
        <w:ind w:firstLine="240" w:firstLineChars="100"/>
        <w:rPr>
          <w:rFonts w:hint="eastAsia" w:ascii="黑体" w:hAnsi="黑体" w:eastAsia="黑体" w:cs="黑体"/>
          <w:color w:val="auto"/>
          <w:sz w:val="24"/>
          <w:szCs w:val="24"/>
          <w:lang w:val="en-US" w:eastAsia="zh-CN"/>
        </w:rPr>
      </w:pP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 xml:space="preserve">业态类型：中央厨房/集中用餐配送单位/医疗机构食堂/养老机构/普通餐饮服务单位     </w:t>
      </w:r>
    </w:p>
    <w:p>
      <w:pPr>
        <w:ind w:firstLine="240" w:firstLineChars="100"/>
        <w:rPr>
          <w:rFonts w:hint="eastAsia" w:ascii="黑体" w:hAnsi="黑体" w:eastAsia="黑体" w:cs="黑体"/>
          <w:color w:val="auto"/>
          <w:sz w:val="24"/>
          <w:szCs w:val="24"/>
          <w:highlight w:val="none"/>
          <w:lang w:val="en-US" w:eastAsia="zh-CN"/>
        </w:rPr>
      </w:pPr>
      <w:r>
        <w:rPr>
          <w:rFonts w:hint="eastAsia" w:ascii="黑体" w:hAnsi="黑体" w:eastAsia="黑体" w:cs="黑体"/>
          <w:color w:val="auto"/>
          <w:sz w:val="24"/>
          <w:szCs w:val="24"/>
          <w:lang w:val="en-US" w:eastAsia="zh-CN"/>
        </w:rPr>
        <w:t xml:space="preserve">单位名称（与许可一致）：                           </w:t>
      </w:r>
      <w:r>
        <w:rPr>
          <w:rFonts w:hint="eastAsia" w:ascii="黑体" w:hAnsi="黑体" w:eastAsia="黑体" w:cs="黑体"/>
          <w:color w:val="auto"/>
          <w:sz w:val="24"/>
          <w:szCs w:val="24"/>
          <w:highlight w:val="none"/>
          <w:lang w:val="en-US" w:eastAsia="zh-CN"/>
        </w:rPr>
        <w:t xml:space="preserve">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0"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7"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499"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现场发现野生动物、食品浪费现象，扣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jc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w:t>
            </w:r>
            <w:r>
              <w:rPr>
                <w:rFonts w:hint="eastAsia" w:ascii="仿宋_GB2312" w:hAnsi="Times New Roman" w:eastAsia="仿宋_GB2312" w:cs="仿宋_GB2312"/>
                <w:i w:val="0"/>
                <w:iCs w:val="0"/>
                <w:color w:val="000000"/>
                <w:kern w:val="0"/>
                <w:sz w:val="24"/>
                <w:szCs w:val="24"/>
                <w:u w:val="none"/>
                <w:lang w:val="en-US" w:eastAsia="zh-CN" w:bidi="ar"/>
              </w:rPr>
              <w:t>使用或生产假冒伪劣食品、非法添加行为的，扣</w:t>
            </w:r>
            <w:r>
              <w:rPr>
                <w:rFonts w:hint="default" w:ascii="Times New Roman" w:hAnsi="Times New Roman" w:eastAsia="宋体" w:cs="Times New Roman"/>
                <w:i w:val="0"/>
                <w:iCs w:val="0"/>
                <w:color w:val="000000"/>
                <w:kern w:val="0"/>
                <w:sz w:val="24"/>
                <w:szCs w:val="24"/>
                <w:u w:val="none"/>
                <w:lang w:val="en-US" w:eastAsia="zh-CN" w:bidi="ar"/>
              </w:rPr>
              <w:t>0.5</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未健全食品安全管理制度的，扣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企业至少有</w:t>
            </w: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项食品安全管理制度：⑴有食品安全自查制度、⑵进货查验记录制度、⑶从业人员健康管理制度、⑷食品安全培训考核制度、⑸投诉举报制度、⑹食品安全事故处置方案、⑺日管控、周排查、月调度工作制度。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现场未提供《食品安全总监职责》（大中型餐饮服务企业、连锁餐饮企业总部提供）、《食品安全员守则》文件，扣0.1分。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未明确主要负责人、食品安全总监（大中型餐饮服务企业、连锁餐饮企业总部配备）、食品安全员等人员的设立及调整情况的，扣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单位负责人、食品安全管理人员每年参加食品质量安全法律法规等集中培训低于</w:t>
            </w:r>
            <w:r>
              <w:rPr>
                <w:rFonts w:hint="default" w:ascii="Times New Roman" w:hAnsi="Times New Roman" w:eastAsia="仿宋_GB2312" w:cs="Times New Roman"/>
                <w:i w:val="0"/>
                <w:iCs w:val="0"/>
                <w:color w:val="000000"/>
                <w:kern w:val="0"/>
                <w:sz w:val="24"/>
                <w:szCs w:val="24"/>
                <w:u w:val="none"/>
                <w:lang w:val="en-US" w:eastAsia="zh-CN" w:bidi="ar"/>
              </w:rPr>
              <w:t>40</w:t>
            </w:r>
            <w:r>
              <w:rPr>
                <w:rFonts w:ascii="仿宋_GB2312" w:hAnsi="宋体" w:eastAsia="仿宋_GB2312" w:cs="仿宋_GB2312"/>
                <w:i w:val="0"/>
                <w:iCs w:val="0"/>
                <w:color w:val="000000"/>
                <w:kern w:val="0"/>
                <w:sz w:val="24"/>
                <w:szCs w:val="24"/>
                <w:u w:val="none"/>
                <w:lang w:val="en-US" w:eastAsia="zh-CN" w:bidi="ar"/>
              </w:rPr>
              <w:t>学时的，扣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现场未提供监督管理部门对食品安全管理员</w:t>
            </w:r>
            <w:r>
              <w:rPr>
                <w:rFonts w:hint="eastAsia" w:ascii="仿宋_GB2312" w:hAnsi="Times New Roman" w:eastAsia="仿宋_GB2312" w:cs="仿宋_GB2312"/>
                <w:i w:val="0"/>
                <w:iCs w:val="0"/>
                <w:color w:val="000000"/>
                <w:kern w:val="0"/>
                <w:sz w:val="24"/>
                <w:szCs w:val="24"/>
                <w:u w:val="none"/>
                <w:lang w:val="en-US" w:eastAsia="zh-CN" w:bidi="ar"/>
              </w:rPr>
              <w:t>（食品安全总监和食品安全员）</w:t>
            </w:r>
            <w:r>
              <w:rPr>
                <w:rFonts w:ascii="仿宋_GB2312" w:hAnsi="Times New Roman" w:eastAsia="仿宋_GB2312" w:cs="仿宋_GB2312"/>
                <w:i w:val="0"/>
                <w:iCs w:val="0"/>
                <w:color w:val="000000"/>
                <w:kern w:val="0"/>
                <w:sz w:val="24"/>
                <w:szCs w:val="24"/>
                <w:u w:val="none"/>
                <w:lang w:val="en-US" w:eastAsia="zh-CN" w:bidi="ar"/>
              </w:rPr>
              <w:t>进行监督抽查考核记录及考核合格结果，扣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分。（若监管部门无具体考核频次要求，则默认每年至少接受一次考核。）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未按照自查制度的频次对食品安全责任落实情况、食品安全状况进行自评自查的，扣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未落实食品安全员日管控、食品安全总监或食品安全员周排查、主要责任人月调度工作机制的，扣0.1分。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食品安全自查报告发现问题的，最近一次监督检查记录中记载发现问题的，未在规定期限内完成整改，扣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加工制作场所未距离粪坑、污水池、暴露垃圾场（站）、旱厕等污染源</w:t>
            </w:r>
            <w:r>
              <w:rPr>
                <w:rFonts w:hint="default" w:ascii="Times New Roman" w:hAnsi="Times New Roman" w:eastAsia="宋体" w:cs="Times New Roman"/>
                <w:i w:val="0"/>
                <w:iCs w:val="0"/>
                <w:color w:val="000000"/>
                <w:kern w:val="0"/>
                <w:sz w:val="24"/>
                <w:szCs w:val="24"/>
                <w:u w:val="none"/>
                <w:lang w:val="en-US" w:eastAsia="zh-CN" w:bidi="ar"/>
              </w:rPr>
              <w:t>25m</w:t>
            </w:r>
            <w:r>
              <w:rPr>
                <w:rFonts w:ascii="仿宋_GB2312" w:hAnsi="Times New Roman" w:eastAsia="仿宋_GB2312" w:cs="仿宋_GB2312"/>
                <w:i w:val="0"/>
                <w:iCs w:val="0"/>
                <w:color w:val="000000"/>
                <w:kern w:val="0"/>
                <w:sz w:val="24"/>
                <w:szCs w:val="24"/>
                <w:u w:val="none"/>
                <w:lang w:val="en-US" w:eastAsia="zh-CN" w:bidi="ar"/>
              </w:rPr>
              <w:t>以上，并位于粉尘、有害气体、放射性物质和其他扩散性污染源的影响范围内的，扣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现场发现严重的虫害迹象，如大量蟑螂、苍蝇及其尸体、老鼠或老鼠排泄物的，扣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操作区域地面有大量积水，设备设施的清洁状况不满足食品加工基本要求的，扣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存在未定期维护食品加工、贮存等设施、设备情况，扣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现场抽查</w:t>
            </w:r>
            <w:r>
              <w:rPr>
                <w:rFonts w:hint="default" w:ascii="Times New Roman" w:hAnsi="Times New Roman" w:eastAsia="宋体" w:cs="Times New Roman"/>
                <w:i w:val="0"/>
                <w:iCs w:val="0"/>
                <w:color w:val="000000"/>
                <w:kern w:val="0"/>
                <w:sz w:val="24"/>
                <w:szCs w:val="24"/>
                <w:u w:val="none"/>
                <w:lang w:val="en-US" w:eastAsia="zh-CN" w:bidi="ar"/>
              </w:rPr>
              <w:t>3</w:t>
            </w:r>
            <w:r>
              <w:rPr>
                <w:rFonts w:ascii="仿宋_GB2312" w:hAnsi="Times New Roman" w:eastAsia="仿宋_GB2312" w:cs="仿宋_GB2312"/>
                <w:i w:val="0"/>
                <w:iCs w:val="0"/>
                <w:color w:val="000000"/>
                <w:kern w:val="0"/>
                <w:sz w:val="24"/>
                <w:szCs w:val="24"/>
                <w:u w:val="none"/>
                <w:lang w:val="en-US" w:eastAsia="zh-CN" w:bidi="ar"/>
              </w:rPr>
              <w:t>种原辅料（含食品相关产品），未履行进货查验义务，或索证索票不全的，扣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食品添加剂未专柜存放、专册记录、专用量具、未明示</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仿宋_GB2312" w:hAnsi="Times New Roman" w:eastAsia="仿宋_GB2312" w:cs="仿宋_GB2312"/>
                <w:i w:val="0"/>
                <w:iCs w:val="0"/>
                <w:color w:val="000000"/>
                <w:kern w:val="0"/>
                <w:sz w:val="24"/>
                <w:szCs w:val="24"/>
                <w:u w:val="none"/>
                <w:lang w:val="en-US" w:eastAsia="zh-CN" w:bidi="ar"/>
              </w:rPr>
              <w:t>食品添加剂</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仿宋_GB2312" w:hAnsi="Times New Roman" w:eastAsia="仿宋_GB2312" w:cs="仿宋_GB2312"/>
                <w:i w:val="0"/>
                <w:iCs w:val="0"/>
                <w:color w:val="000000"/>
                <w:kern w:val="0"/>
                <w:sz w:val="24"/>
                <w:szCs w:val="24"/>
                <w:u w:val="none"/>
                <w:lang w:val="en-US" w:eastAsia="zh-CN" w:bidi="ar"/>
              </w:rPr>
              <w:t>字样，扣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食品处理区设置未按照原料进入、原料加工制作、半成品加工制作、成品供应的流程合理布局的，扣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不同存在形式的食品（原料、半成品、成品</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仿宋_GB2312" w:hAnsi="Times New Roman" w:eastAsia="仿宋_GB2312" w:cs="仿宋_GB2312"/>
                <w:i w:val="0"/>
                <w:iCs w:val="0"/>
                <w:color w:val="000000"/>
                <w:kern w:val="0"/>
                <w:sz w:val="24"/>
                <w:szCs w:val="24"/>
                <w:u w:val="none"/>
                <w:lang w:val="en-US" w:eastAsia="zh-CN" w:bidi="ar"/>
              </w:rPr>
              <w:t>的盛放容器和加工制作工具（刀具、菜板）未分类管理、未按标识区分使用（如：颜色、标志、文字等）的，扣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不同食品原料及食品工用具的清洗池或专用容器清洗未分开使用、未按标识区分使用（如：颜色、标志、文字等）的，扣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未设置专用于清洗清洁工具的区域或设施，无明显的区分标识，扣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从事接触直接入口食品工作的从业人员个人卫生状况不符合要求的，扣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从业人员个人卫生要求：不得留长指甲、涂指甲油。工作时，应穿清洁的工作服，不得披散头发，佩戴的手表、手镯、手链、手串、戒指、耳环等饰物不得外露。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中央厨房、集体配餐单位配送食品的车辆、温度和时间等不符合操作规范要求，扣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中央厨房、集体配餐单位的配送容器、包装材料不符合食品安全国家标准，并标注单位名称、地址、许可证号、联系方式，以及食品名称、加工制作时间、保存条件、保存期限、加工制作要求等，扣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32</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未设置餐饮具清洗消毒设施，扣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33</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餐饮具清洗消毒设施未正常运转，扣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仅对中央厨房、集体配餐单位以及养老机构食堂、医疗机构食堂等餐饮服务提供者（集体聚餐人数超过</w:t>
            </w:r>
            <w:r>
              <w:rPr>
                <w:rFonts w:hint="default" w:ascii="Times New Roman" w:hAnsi="Times New Roman" w:eastAsia="仿宋_GB2312" w:cs="Times New Roman"/>
                <w:b/>
                <w:bCs/>
                <w:i w:val="0"/>
                <w:iCs w:val="0"/>
                <w:color w:val="000000"/>
                <w:kern w:val="0"/>
                <w:sz w:val="24"/>
                <w:szCs w:val="24"/>
                <w:u w:val="none"/>
                <w:lang w:val="en-US" w:eastAsia="zh-CN" w:bidi="ar"/>
              </w:rPr>
              <w:t>100</w:t>
            </w:r>
            <w:r>
              <w:rPr>
                <w:rFonts w:hint="eastAsia" w:ascii="仿宋_GB2312" w:hAnsi="宋体" w:eastAsia="仿宋_GB2312" w:cs="仿宋_GB2312"/>
                <w:b/>
                <w:bCs/>
                <w:i w:val="0"/>
                <w:iCs w:val="0"/>
                <w:color w:val="000000"/>
                <w:kern w:val="0"/>
                <w:sz w:val="24"/>
                <w:szCs w:val="24"/>
                <w:u w:val="none"/>
                <w:lang w:val="en-US" w:eastAsia="zh-CN" w:bidi="ar"/>
              </w:rPr>
              <w:t>人或为重大活动供餐）检查</w:t>
            </w:r>
            <w:r>
              <w:rPr>
                <w:rFonts w:hint="default" w:ascii="Times New Roman" w:hAnsi="Times New Roman" w:eastAsia="仿宋_GB2312" w:cs="Times New Roman"/>
                <w:b/>
                <w:bCs/>
                <w:i w:val="0"/>
                <w:iCs w:val="0"/>
                <w:color w:val="000000"/>
                <w:kern w:val="0"/>
                <w:sz w:val="24"/>
                <w:szCs w:val="24"/>
                <w:u w:val="none"/>
                <w:lang w:val="en-US" w:eastAsia="zh-CN" w:bidi="ar"/>
              </w:rPr>
              <w:t>34-37</w:t>
            </w:r>
            <w:r>
              <w:rPr>
                <w:rFonts w:hint="eastAsia" w:ascii="仿宋_GB2312" w:hAnsi="宋体" w:eastAsia="仿宋_GB2312" w:cs="仿宋_GB2312"/>
                <w:b/>
                <w:bCs/>
                <w:i w:val="0"/>
                <w:iCs w:val="0"/>
                <w:color w:val="000000"/>
                <w:kern w:val="0"/>
                <w:sz w:val="24"/>
                <w:szCs w:val="24"/>
                <w:u w:val="none"/>
                <w:lang w:val="en-US" w:eastAsia="zh-CN" w:bidi="ar"/>
              </w:rPr>
              <w:t>项：</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ascii="仿宋_GB2312" w:hAnsi="宋体" w:eastAsia="仿宋_GB2312" w:cs="仿宋_GB2312"/>
                <w:i w:val="0"/>
                <w:iCs w:val="0"/>
                <w:color w:val="000000"/>
                <w:kern w:val="0"/>
                <w:sz w:val="24"/>
                <w:szCs w:val="24"/>
                <w:u w:val="none"/>
                <w:lang w:val="en-US" w:eastAsia="zh-CN" w:bidi="ar"/>
              </w:rPr>
              <w:t>留样食品成品未盛放于专用密闭容器，留样数量少于</w:t>
            </w:r>
            <w:r>
              <w:rPr>
                <w:rFonts w:hint="default" w:ascii="Times New Roman" w:hAnsi="Times New Roman" w:eastAsia="仿宋_GB2312" w:cs="Times New Roman"/>
                <w:i w:val="0"/>
                <w:iCs w:val="0"/>
                <w:color w:val="000000"/>
                <w:kern w:val="0"/>
                <w:sz w:val="24"/>
                <w:szCs w:val="24"/>
                <w:u w:val="none"/>
                <w:lang w:val="en-US" w:eastAsia="zh-CN" w:bidi="ar"/>
              </w:rPr>
              <w:t>125g</w:t>
            </w:r>
            <w:r>
              <w:rPr>
                <w:rFonts w:ascii="仿宋_GB2312" w:hAnsi="宋体" w:eastAsia="仿宋_GB2312" w:cs="仿宋_GB2312"/>
                <w:i w:val="0"/>
                <w:iCs w:val="0"/>
                <w:color w:val="000000"/>
                <w:kern w:val="0"/>
                <w:sz w:val="24"/>
                <w:szCs w:val="24"/>
                <w:u w:val="none"/>
                <w:lang w:val="en-US" w:eastAsia="zh-CN" w:bidi="ar"/>
              </w:rPr>
              <w:t>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未在专用冷藏设备留样柜中冷藏存放</w:t>
            </w:r>
            <w:r>
              <w:rPr>
                <w:rFonts w:hint="default" w:ascii="Times New Roman" w:hAnsi="Times New Roman" w:eastAsia="宋体" w:cs="Times New Roman"/>
                <w:i w:val="0"/>
                <w:iCs w:val="0"/>
                <w:color w:val="000000"/>
                <w:kern w:val="0"/>
                <w:sz w:val="24"/>
                <w:szCs w:val="24"/>
                <w:u w:val="none"/>
                <w:lang w:val="en-US" w:eastAsia="zh-CN" w:bidi="ar"/>
              </w:rPr>
              <w:t>48</w:t>
            </w:r>
            <w:r>
              <w:rPr>
                <w:rFonts w:ascii="仿宋_GB2312" w:hAnsi="Times New Roman" w:eastAsia="仿宋_GB2312" w:cs="仿宋_GB2312"/>
                <w:i w:val="0"/>
                <w:iCs w:val="0"/>
                <w:color w:val="000000"/>
                <w:kern w:val="0"/>
                <w:sz w:val="24"/>
                <w:szCs w:val="24"/>
                <w:u w:val="none"/>
                <w:lang w:val="en-US" w:eastAsia="zh-CN" w:bidi="ar"/>
              </w:rPr>
              <w:t>小时以上，冷藏温度无法满足</w:t>
            </w:r>
            <w:r>
              <w:rPr>
                <w:rFonts w:hint="default" w:ascii="Times New Roman" w:hAnsi="Times New Roman" w:eastAsia="宋体" w:cs="Times New Roman"/>
                <w:i w:val="0"/>
                <w:iCs w:val="0"/>
                <w:color w:val="000000"/>
                <w:kern w:val="0"/>
                <w:sz w:val="24"/>
                <w:szCs w:val="24"/>
                <w:u w:val="none"/>
                <w:lang w:val="en-US" w:eastAsia="zh-CN" w:bidi="ar"/>
              </w:rPr>
              <w:t>0℃</w:t>
            </w: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8℃</w:t>
            </w:r>
            <w:r>
              <w:rPr>
                <w:rFonts w:ascii="仿宋_GB2312" w:hAnsi="Times New Roman" w:eastAsia="仿宋_GB2312" w:cs="仿宋_GB2312"/>
                <w:i w:val="0"/>
                <w:iCs w:val="0"/>
                <w:color w:val="000000"/>
                <w:kern w:val="0"/>
                <w:sz w:val="24"/>
                <w:szCs w:val="24"/>
                <w:u w:val="none"/>
                <w:lang w:val="en-US" w:eastAsia="zh-CN" w:bidi="ar"/>
              </w:rPr>
              <w:t>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留样容器上未标注留样食品名称、留样时间等信息的，扣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37</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未专人管理留样食品及每餐次食品成品的留样记录的，扣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38</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4"/>
                <w:szCs w:val="24"/>
                <w:u w:val="none"/>
              </w:rPr>
            </w:pPr>
            <w:r>
              <w:rPr>
                <w:rFonts w:hint="eastAsia" w:ascii="仿宋_GB2312" w:hAnsi="Times New Roman" w:eastAsia="仿宋_GB2312" w:cs="仿宋_GB2312"/>
                <w:b/>
                <w:bCs/>
                <w:i w:val="0"/>
                <w:iCs w:val="0"/>
                <w:color w:val="000000"/>
                <w:kern w:val="0"/>
                <w:sz w:val="24"/>
                <w:szCs w:val="24"/>
                <w:u w:val="none"/>
                <w:lang w:val="en-US" w:eastAsia="zh-CN" w:bidi="ar"/>
              </w:rPr>
              <w:t>仅对中央厨房、集体配餐单位检查：</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未制定定期对大宗食品原料、加工制作环境等的检验检测的计划，扣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未按规定落实食品安全自查制度，未定期开展食品安全自查，扣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现场未提供《餐厨垃圾处置台账》的，扣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现场未提供与餐厨垃圾集中收运公司签订的协议，扣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42</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未公示或未在公示板张贴悬挂《餐厨垃圾处置台账》的，扣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61</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未现场显著位置公示《营业执照》及《食品经营许可证》，扣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66</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从事网络订餐服务，但网络订餐平台入网餐饮服务经营者的食品经营许可证登记信息与实际不一致，扣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66</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从事网络订餐服务，但网络订餐平台入网餐饮服务经营者超范围经营，扣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诚信文化</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69</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46</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未提供开展诚信守法教育活动，无相关证明材料，扣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4.“（5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pPr>
        <w:spacing w:beforeLines="50" w:line="360" w:lineRule="exact"/>
        <w:jc w:val="left"/>
        <w:rPr>
          <w:rFonts w:ascii="Times New Roman" w:hAnsi="Times New Roman" w:eastAsia="楷体_GB2312"/>
          <w:sz w:val="28"/>
          <w:szCs w:val="28"/>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81B5EF0"/>
    <w:rsid w:val="0AC85742"/>
    <w:rsid w:val="184473D8"/>
    <w:rsid w:val="1BB10A7E"/>
    <w:rsid w:val="1EF34102"/>
    <w:rsid w:val="2CB50578"/>
    <w:rsid w:val="2CDA6E30"/>
    <w:rsid w:val="33E552A9"/>
    <w:rsid w:val="35F029FD"/>
    <w:rsid w:val="43067708"/>
    <w:rsid w:val="456926CF"/>
    <w:rsid w:val="4605452E"/>
    <w:rsid w:val="46E502D3"/>
    <w:rsid w:val="509251CF"/>
    <w:rsid w:val="50BD5D72"/>
    <w:rsid w:val="56811F6E"/>
    <w:rsid w:val="5A8C25F7"/>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72B08710D0BD4BCDA10969F2FDC73168</vt:lpwstr>
  </property>
</Properties>
</file>