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明查表4</w:t>
      </w:r>
    </w:p>
    <w:p>
      <w:pPr>
        <w:jc w:val="center"/>
        <w:rPr>
          <w:rFonts w:hint="eastAsia" w:ascii="方正小标宋简体" w:hAnsi="方正小标宋简体" w:eastAsia="方正小标宋简体" w:cs="方正小标宋简体"/>
          <w:color w:val="auto"/>
          <w:sz w:val="36"/>
          <w:szCs w:val="36"/>
          <w:lang w:val="en-US" w:eastAsia="zh-CN"/>
        </w:rPr>
      </w:pPr>
      <w:bookmarkStart w:id="0" w:name="_GoBack"/>
      <w:r>
        <w:rPr>
          <w:rFonts w:hint="eastAsia" w:ascii="方正小标宋简体" w:hAnsi="方正小标宋简体" w:eastAsia="方正小标宋简体" w:cs="方正小标宋简体"/>
          <w:color w:val="auto"/>
          <w:sz w:val="36"/>
          <w:szCs w:val="36"/>
        </w:rPr>
        <w:t>保健食品生产企业</w:t>
      </w:r>
      <w:r>
        <w:rPr>
          <w:rFonts w:hint="eastAsia" w:ascii="方正小标宋简体" w:hAnsi="方正小标宋简体" w:eastAsia="方正小标宋简体" w:cs="方正小标宋简体"/>
          <w:color w:val="auto"/>
          <w:sz w:val="36"/>
          <w:szCs w:val="36"/>
          <w:lang w:val="en-US" w:eastAsia="zh-CN"/>
        </w:rPr>
        <w:t>明查打分表</w:t>
      </w:r>
    </w:p>
    <w:bookmarkEnd w:id="0"/>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ind w:firstLine="240" w:firstLineChars="100"/>
        <w:jc w:val="both"/>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业态类型：保健食品生产企业                单位名称（与许可一致）：                        所属街道：</w:t>
      </w:r>
      <w:r>
        <w:rPr>
          <w:rFonts w:hint="eastAsia" w:ascii="黑体" w:hAnsi="黑体" w:eastAsia="黑体" w:cs="黑体"/>
          <w:color w:val="auto"/>
          <w:sz w:val="36"/>
          <w:szCs w:val="36"/>
          <w:lang w:val="en-US" w:eastAsia="zh-CN"/>
        </w:rPr>
        <w:t xml:space="preserve">         </w:t>
      </w:r>
      <w:r>
        <w:rPr>
          <w:rFonts w:hint="eastAsia" w:ascii="黑体" w:hAnsi="黑体" w:eastAsia="黑体" w:cs="黑体"/>
          <w:color w:val="auto"/>
          <w:sz w:val="24"/>
          <w:szCs w:val="24"/>
          <w:lang w:val="en-US" w:eastAsia="zh-CN"/>
        </w:rPr>
        <w:t xml:space="preserve"> </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0" w:type="dxa"/>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评价要点</w:t>
            </w:r>
          </w:p>
        </w:tc>
        <w:tc>
          <w:tcPr>
            <w:tcW w:w="2267" w:type="dxa"/>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序号</w:t>
            </w:r>
          </w:p>
        </w:tc>
        <w:tc>
          <w:tcPr>
            <w:tcW w:w="8499" w:type="dxa"/>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仅针对近两年接受体系检查的企业，未接受体系检查的企业视为合理缺项：</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现场未提供近两年接受体系检查的证明材料（检查结果通知、问题整改报告等），扣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仅针对近两年接受体系检查的企业，未接受体系检查的企业视为合理缺项：</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整改报告显示问题整改率未达到</w:t>
            </w:r>
            <w:r>
              <w:rPr>
                <w:rFonts w:hint="default" w:ascii="Times New Roman" w:hAnsi="Times New Roman" w:eastAsia="宋体" w:cs="Times New Roman"/>
                <w:i w:val="0"/>
                <w:iCs w:val="0"/>
                <w:color w:val="000000"/>
                <w:kern w:val="0"/>
                <w:sz w:val="24"/>
                <w:szCs w:val="24"/>
                <w:u w:val="none"/>
                <w:lang w:val="en-US" w:eastAsia="zh-CN" w:bidi="ar"/>
              </w:rPr>
              <w:t>100%</w:t>
            </w:r>
            <w:r>
              <w:rPr>
                <w:rFonts w:ascii="仿宋_GB2312" w:hAnsi="Times New Roman" w:eastAsia="仿宋_GB2312" w:cs="仿宋_GB2312"/>
                <w:i w:val="0"/>
                <w:iCs w:val="0"/>
                <w:color w:val="000000"/>
                <w:kern w:val="0"/>
                <w:sz w:val="24"/>
                <w:szCs w:val="24"/>
                <w:u w:val="none"/>
                <w:lang w:val="en-US" w:eastAsia="zh-CN" w:bidi="ar"/>
              </w:rPr>
              <w:t>，现场实际情况与整改报告所述整改效果不一致，扣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现场发现非法添加行为，扣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未健全食品安全管理制度的，扣0.1分。</w:t>
            </w:r>
            <w:r>
              <w:rPr>
                <w:rFonts w:ascii="仿宋_GB2312" w:hAnsi="宋体" w:eastAsia="仿宋_GB2312" w:cs="仿宋_GB2312"/>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企业至少有</w:t>
            </w:r>
            <w:r>
              <w:rPr>
                <w:rFonts w:hint="eastAsia" w:ascii="Times New Roman" w:hAnsi="Times New Roman" w:eastAsia="仿宋_GB2312" w:cs="Times New Roman"/>
                <w:i w:val="0"/>
                <w:iCs w:val="0"/>
                <w:color w:val="000000"/>
                <w:kern w:val="0"/>
                <w:sz w:val="24"/>
                <w:szCs w:val="24"/>
                <w:u w:val="none"/>
                <w:lang w:val="en-US" w:eastAsia="zh-CN" w:bidi="ar"/>
              </w:rPr>
              <w:t>8</w:t>
            </w:r>
            <w:r>
              <w:rPr>
                <w:rFonts w:ascii="仿宋_GB2312" w:hAnsi="宋体" w:eastAsia="仿宋_GB2312" w:cs="仿宋_GB2312"/>
                <w:i w:val="0"/>
                <w:iCs w:val="0"/>
                <w:color w:val="000000"/>
                <w:kern w:val="0"/>
                <w:sz w:val="24"/>
                <w:szCs w:val="24"/>
                <w:u w:val="none"/>
                <w:lang w:val="en-US" w:eastAsia="zh-CN" w:bidi="ar"/>
              </w:rPr>
              <w:t>项食品安全管理制度：⑴从业人员健康管理制度、⑵进货查验记录制度、⑶生产过程控制制度、⑷出厂检验记录制度、⑸不安全食品召回制度、⑹食品安全自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现场未提供《食品安全总监职责》《食品安全员守则》文件，扣0.1分。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未明确主要负责人、食品安全总监、食品安全员等人员的设立及调整情况的，扣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现场随机抽查食品安全总监和食品安全员“食安员抽考”APP抽考记录</w:t>
            </w:r>
            <w:r>
              <w:rPr>
                <w:rFonts w:ascii="仿宋_GB2312" w:hAnsi="Times New Roman" w:eastAsia="仿宋_GB2312" w:cs="仿宋_GB2312"/>
                <w:i w:val="0"/>
                <w:iCs w:val="0"/>
                <w:color w:val="000000"/>
                <w:kern w:val="0"/>
                <w:sz w:val="24"/>
                <w:szCs w:val="24"/>
                <w:u w:val="none"/>
                <w:lang w:val="en-US" w:eastAsia="zh-CN" w:bidi="ar"/>
              </w:rPr>
              <w:t>，未合格的，扣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生产加工经营过程不符合相应生产工艺和操作规范，扣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加工场所内环境（包括地面、排水沟、墙面、顶棚、门窗等）未保持清洁，扣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车间入口处及车间内必要处未设置更衣室，扣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更衣设施不能与生产量或工作人员数量相匹配，扣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水龙头、烘干设备无法正常使用，扣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仓库内原料、半成品、成品、包装材料未分设贮存场所、未分区码放，扣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现场抽查</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种食品原料、</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种食品相关产品、</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种食品添加剂，查看进货查验记录、索证索票，记录内容和票据不全的，扣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未对抽查的品种，建立和保存贮存、保管记录和领用出库记录的，扣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随机抽查</w:t>
            </w:r>
            <w:r>
              <w:rPr>
                <w:rFonts w:hint="default" w:ascii="Times New Roman" w:hAnsi="Times New Roman" w:eastAsia="宋体" w:cs="Times New Roman"/>
                <w:i w:val="0"/>
                <w:iCs w:val="0"/>
                <w:color w:val="000000"/>
                <w:kern w:val="0"/>
                <w:sz w:val="24"/>
                <w:szCs w:val="24"/>
                <w:u w:val="none"/>
                <w:lang w:val="en-US" w:eastAsia="zh-CN" w:bidi="ar"/>
              </w:rPr>
              <w:t>1-3</w:t>
            </w:r>
            <w:r>
              <w:rPr>
                <w:rFonts w:ascii="仿宋_GB2312" w:hAnsi="Times New Roman" w:eastAsia="仿宋_GB2312" w:cs="仿宋_GB2312"/>
                <w:i w:val="0"/>
                <w:iCs w:val="0"/>
                <w:color w:val="000000"/>
                <w:kern w:val="0"/>
                <w:sz w:val="24"/>
                <w:szCs w:val="24"/>
                <w:u w:val="none"/>
                <w:lang w:val="en-US" w:eastAsia="zh-CN" w:bidi="ar"/>
              </w:rPr>
              <w:t>批次成品检查，未按规定开展出厂检验，检验报告和原始检验记录数据不真实的，扣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企业自查发现风险，未立即采取整改并按规定向所在地市场监督管理部门报告的，扣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对检查发现的问题，未查找原因或未严格落实整改措施，扣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现场未提供产品注册或备案的技术要求相关材料的，扣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未严格按照注册或备案的技术要求组织生产，产品标识标注不规范的，扣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r>
              <w:rPr>
                <w:rFonts w:ascii="仿宋_GB2312" w:hAnsi="Times New Roman" w:eastAsia="仿宋_GB2312" w:cs="仿宋_GB2312"/>
                <w:i w:val="0"/>
                <w:iCs w:val="0"/>
                <w:color w:val="000000"/>
                <w:kern w:val="0"/>
                <w:sz w:val="24"/>
                <w:szCs w:val="24"/>
                <w:u w:val="none"/>
                <w:lang w:val="en-US" w:eastAsia="zh-CN" w:bidi="ar"/>
              </w:rPr>
              <w:t>产品追溯</w:t>
            </w:r>
          </w:p>
        </w:tc>
        <w:tc>
          <w:tcPr>
            <w:tcW w:w="2267"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现场未提供食品安全追溯体系或追溯制度的，扣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企业食品安全追溯体系不健全，无法确保记录真实完整，产品来源可查、去向可追的，扣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2.“（2</w:t>
      </w:r>
      <w:r>
        <w:rPr>
          <w:rFonts w:hint="eastAsia" w:ascii="Times New Roman" w:hAnsi="Times New Roman" w:eastAsia="楷体_GB2312"/>
          <w:sz w:val="28"/>
          <w:szCs w:val="28"/>
          <w:lang w:val="en-US" w:eastAsia="zh-CN"/>
        </w:rPr>
        <w:t>3</w:t>
      </w:r>
      <w:r>
        <w:rPr>
          <w:rFonts w:hint="eastAsia" w:ascii="Times New Roman" w:hAnsi="Times New Roman" w:eastAsia="楷体_GB2312"/>
          <w:sz w:val="28"/>
          <w:szCs w:val="28"/>
        </w:rPr>
        <w:t>）保健食品生产企业体系检查年度覆盖率达到辖区内保健食品生产企业总数的20%以上；体系检查问题整改率达到100%”中，保健食品生产企业体系检查年度覆盖率达到辖区内保健食品生产企业总数的20%以上，是指国家食品安全示范城市辖区内保健食品生产企业参加省级市场监管部门组织的年度保健食品生产企业体系检查数量不低于本辖区保健食品生产企业总数的20%。从体系检查类型来说，保健食品生产企业体系检查应为省级市场监管部门组织的体系检查；从组织形式来说，可以是省级市场监管部门自行组织、委托第三方机构组织或委托市局组织；从覆盖率来说，年度体系检查覆盖率必须达到国家食品安全示范城市辖区内保健食品生产企业总数的20%以上。辖区内保健食品生产企业在省级市场监管部门组织的年度体系检查中覆盖率不足辖区保健食品生产企业总数20%的，即判定不合格。比如，省级市场监管部门未按时在申请城市辖区内开展体系检查的，或已经开展体系检查但未达到20%的，都可视为不合格。</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5.“（5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84473D8"/>
    <w:rsid w:val="1BB10A7E"/>
    <w:rsid w:val="1EF34102"/>
    <w:rsid w:val="2CB50578"/>
    <w:rsid w:val="2CDA6E30"/>
    <w:rsid w:val="33E552A9"/>
    <w:rsid w:val="35F029FD"/>
    <w:rsid w:val="43067708"/>
    <w:rsid w:val="4605452E"/>
    <w:rsid w:val="46E502D3"/>
    <w:rsid w:val="509251CF"/>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56088A1593524E1E83D1A0E6374B007A</vt:lpwstr>
  </property>
</Properties>
</file>