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left"/>
        <w:rPr>
          <w:rFonts w:ascii="Times New Roman" w:hAnsi="Times New Roman" w:eastAsia="黑体"/>
          <w:sz w:val="32"/>
          <w:szCs w:val="32"/>
        </w:rPr>
      </w:pPr>
      <w:r>
        <w:rPr>
          <w:rFonts w:ascii="Times New Roman" w:hAnsi="Times New Roman" w:eastAsia="黑体"/>
          <w:sz w:val="32"/>
          <w:szCs w:val="32"/>
        </w:rPr>
        <w:t>明查表3</w:t>
      </w:r>
    </w:p>
    <w:p>
      <w:pPr>
        <w:jc w:val="center"/>
        <w:rPr>
          <w:rFonts w:hint="eastAsia" w:ascii="Times New Roman" w:hAnsi="Times New Roman" w:eastAsia="方正小标宋简体"/>
          <w:sz w:val="36"/>
          <w:szCs w:val="36"/>
          <w:lang w:val="en-US" w:eastAsia="zh-CN"/>
        </w:rPr>
      </w:pPr>
      <w:bookmarkStart w:id="0" w:name="_GoBack"/>
      <w:r>
        <w:rPr>
          <w:rFonts w:ascii="Times New Roman" w:hAnsi="Times New Roman" w:eastAsia="方正小标宋简体"/>
          <w:sz w:val="36"/>
          <w:szCs w:val="36"/>
        </w:rPr>
        <w:t>特殊医学用途配方食品生产企业</w:t>
      </w:r>
      <w:r>
        <w:rPr>
          <w:rFonts w:hint="eastAsia" w:ascii="Times New Roman" w:hAnsi="Times New Roman" w:eastAsia="方正小标宋简体"/>
          <w:sz w:val="36"/>
          <w:szCs w:val="36"/>
          <w:lang w:val="en-US" w:eastAsia="zh-CN"/>
        </w:rPr>
        <w:t>明查打分表</w:t>
      </w:r>
    </w:p>
    <w:bookmarkEnd w:id="0"/>
    <w:p>
      <w:pPr>
        <w:pStyle w:val="2"/>
        <w:rPr>
          <w:rFonts w:hint="default"/>
          <w:lang w:val="en-US" w:eastAsia="zh-CN"/>
        </w:rPr>
      </w:pP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 xml:space="preserve">业态类型：特殊医学用途配方食品生产企业            单位名称（与许可一致）：                 所属街道：    </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黑体" w:hAnsi="宋体" w:eastAsia="黑体" w:cs="黑体"/>
                <w:i w:val="0"/>
                <w:iCs w:val="0"/>
                <w:color w:val="000000"/>
                <w:kern w:val="0"/>
                <w:sz w:val="24"/>
                <w:szCs w:val="24"/>
                <w:u w:val="none"/>
                <w:lang w:val="en-US" w:eastAsia="zh-CN" w:bidi="ar"/>
              </w:rPr>
              <w:t>评价要点</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黑体" w:hAnsi="宋体" w:eastAsia="黑体" w:cs="黑体"/>
                <w:i w:val="0"/>
                <w:iCs w:val="0"/>
                <w:color w:val="000000"/>
                <w:kern w:val="0"/>
                <w:sz w:val="24"/>
                <w:szCs w:val="24"/>
                <w:u w:val="none"/>
                <w:lang w:val="en-US" w:eastAsia="zh-CN" w:bidi="ar"/>
              </w:rPr>
              <w:t>序号</w:t>
            </w:r>
          </w:p>
        </w:tc>
        <w:tc>
          <w:tcPr>
            <w:tcW w:w="850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现场未公示风险等级，扣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现场未公示《日常监督检查结果记录表》扣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根据风险分级对比最近一次监督检查记录核实监督检查频次，满足频次要求或动态管理的，扣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现场未提供近两年接受体系检查的证明材料（检查结果通知、问题整改报告等），扣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整改报告显示问题整改率未达到</w:t>
            </w:r>
            <w:r>
              <w:rPr>
                <w:rFonts w:hint="default" w:ascii="Times New Roman" w:hAnsi="Times New Roman" w:eastAsia="宋体" w:cs="Times New Roman"/>
                <w:i w:val="0"/>
                <w:iCs w:val="0"/>
                <w:color w:val="000000"/>
                <w:kern w:val="0"/>
                <w:sz w:val="24"/>
                <w:szCs w:val="24"/>
                <w:u w:val="none"/>
                <w:lang w:val="en-US" w:eastAsia="zh-CN" w:bidi="ar"/>
              </w:rPr>
              <w:t>100%</w:t>
            </w:r>
            <w:r>
              <w:rPr>
                <w:rFonts w:ascii="仿宋_GB2312" w:hAnsi="Times New Roman" w:eastAsia="仿宋_GB2312" w:cs="仿宋_GB2312"/>
                <w:i w:val="0"/>
                <w:iCs w:val="0"/>
                <w:color w:val="000000"/>
                <w:kern w:val="0"/>
                <w:sz w:val="24"/>
                <w:szCs w:val="24"/>
                <w:u w:val="none"/>
                <w:lang w:val="en-US" w:eastAsia="zh-CN" w:bidi="ar"/>
              </w:rPr>
              <w:t>，现场实际情况与整改报告所述整改效果不一致，扣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现场发现非法添加行为，扣</w:t>
            </w:r>
            <w:r>
              <w:rPr>
                <w:rFonts w:hint="default" w:ascii="Times New Roman" w:hAnsi="Times New Roman" w:eastAsia="宋体" w:cs="Times New Roman"/>
                <w:i w:val="0"/>
                <w:iCs w:val="0"/>
                <w:color w:val="000000"/>
                <w:kern w:val="0"/>
                <w:sz w:val="24"/>
                <w:szCs w:val="24"/>
                <w:u w:val="none"/>
                <w:lang w:val="en-US" w:eastAsia="zh-CN" w:bidi="ar"/>
              </w:rPr>
              <w:t>0.5</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未健全食品安全管理制度的，扣0.1分。</w:t>
            </w:r>
            <w:r>
              <w:rPr>
                <w:rFonts w:ascii="仿宋_GB2312" w:hAnsi="宋体" w:eastAsia="仿宋_GB2312" w:cs="仿宋_GB2312"/>
                <w:i w:val="0"/>
                <w:iCs w:val="0"/>
                <w:color w:val="000000"/>
                <w:kern w:val="0"/>
                <w:sz w:val="24"/>
                <w:szCs w:val="24"/>
                <w:u w:val="none"/>
                <w:lang w:val="en-US" w:eastAsia="zh-CN" w:bidi="ar"/>
              </w:rPr>
              <w:br w:type="textWrapping"/>
            </w:r>
            <w:r>
              <w:rPr>
                <w:rFonts w:ascii="仿宋_GB2312" w:hAnsi="宋体" w:eastAsia="仿宋_GB2312" w:cs="仿宋_GB2312"/>
                <w:i w:val="0"/>
                <w:iCs w:val="0"/>
                <w:color w:val="000000"/>
                <w:kern w:val="0"/>
                <w:sz w:val="24"/>
                <w:szCs w:val="24"/>
                <w:u w:val="none"/>
                <w:lang w:val="en-US" w:eastAsia="zh-CN" w:bidi="ar"/>
              </w:rPr>
              <w:t>企业至少有</w:t>
            </w:r>
            <w:r>
              <w:rPr>
                <w:rFonts w:hint="eastAsia" w:ascii="Times New Roman" w:hAnsi="Times New Roman" w:eastAsia="仿宋_GB2312" w:cs="Times New Roman"/>
                <w:i w:val="0"/>
                <w:iCs w:val="0"/>
                <w:color w:val="000000"/>
                <w:kern w:val="0"/>
                <w:sz w:val="24"/>
                <w:szCs w:val="24"/>
                <w:u w:val="none"/>
                <w:lang w:val="en-US" w:eastAsia="zh-CN" w:bidi="ar"/>
              </w:rPr>
              <w:t>8</w:t>
            </w:r>
            <w:r>
              <w:rPr>
                <w:rFonts w:ascii="仿宋_GB2312" w:hAnsi="宋体" w:eastAsia="仿宋_GB2312" w:cs="仿宋_GB2312"/>
                <w:i w:val="0"/>
                <w:iCs w:val="0"/>
                <w:color w:val="000000"/>
                <w:kern w:val="0"/>
                <w:sz w:val="24"/>
                <w:szCs w:val="24"/>
                <w:u w:val="none"/>
                <w:lang w:val="en-US" w:eastAsia="zh-CN" w:bidi="ar"/>
              </w:rPr>
              <w:t>项食品安全管理制度：⑴从业人员健康管理制度、⑵进货查验记录制度、⑶生产过程控制制度、⑷出厂检验记录制度、⑸不安全食品召回制度、⑹食品安全自查制度、⑺食品安全事故处置方案、⑻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现场未提供《食品安全总监职责》《食品安全员守则》文件，扣0.1分。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未明确主要负责人、食品安全总监、食品安全员等人员的设立及调整情况的，扣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现场随机抽查食品安全总监和食品安全员“食安员抽考”APP抽考记录</w:t>
            </w:r>
            <w:r>
              <w:rPr>
                <w:rFonts w:ascii="仿宋_GB2312" w:hAnsi="Times New Roman" w:eastAsia="仿宋_GB2312" w:cs="仿宋_GB2312"/>
                <w:i w:val="0"/>
                <w:iCs w:val="0"/>
                <w:color w:val="000000"/>
                <w:kern w:val="0"/>
                <w:sz w:val="24"/>
                <w:szCs w:val="24"/>
                <w:u w:val="none"/>
                <w:lang w:val="en-US" w:eastAsia="zh-CN" w:bidi="ar"/>
              </w:rPr>
              <w:t>，未合格的，扣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未按照自查制度的频次对食品安全责任落实情况、食品安全状况进行自评自查的，扣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未落实食品安全员日管控、食品安全总监周排查、主要责任人月调度工作机制的，扣0.1分。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食品安全自查报告发现问题的，最近一次监督检查记录中记载发现问题的，未在规定期限内完成整改，扣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生产加工经营过程不符合相应生产工艺和操作规范，扣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加工场所内环境（包括地面、排水沟、墙面、顶棚、门窗等）未保持清洁，扣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车间入口处及车间内必要处未设置更衣室，扣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更衣设施不能与生产量或工作人员数量相匹配，扣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水龙头、烘干设备无法正常使用，扣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仓库内原料、半成品、成品、包装材料未分设贮存场所、未分区码放，扣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现场抽查</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种食品原料、</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种食品相关产品、</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种食品添加剂，查看进货查验记录、索证索票，记录内容和票据不全的，扣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未对抽查的品种，建立和保存贮存、保管记录和领用出库记录的，扣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随机抽查</w:t>
            </w:r>
            <w:r>
              <w:rPr>
                <w:rFonts w:hint="default" w:ascii="Times New Roman" w:hAnsi="Times New Roman" w:eastAsia="宋体" w:cs="Times New Roman"/>
                <w:i w:val="0"/>
                <w:iCs w:val="0"/>
                <w:color w:val="000000"/>
                <w:kern w:val="0"/>
                <w:sz w:val="24"/>
                <w:szCs w:val="24"/>
                <w:u w:val="none"/>
                <w:lang w:val="en-US" w:eastAsia="zh-CN" w:bidi="ar"/>
              </w:rPr>
              <w:t>1-3</w:t>
            </w:r>
            <w:r>
              <w:rPr>
                <w:rFonts w:ascii="仿宋_GB2312" w:hAnsi="Times New Roman" w:eastAsia="仿宋_GB2312" w:cs="仿宋_GB2312"/>
                <w:i w:val="0"/>
                <w:iCs w:val="0"/>
                <w:color w:val="000000"/>
                <w:kern w:val="0"/>
                <w:sz w:val="24"/>
                <w:szCs w:val="24"/>
                <w:u w:val="none"/>
                <w:lang w:val="en-US" w:eastAsia="zh-CN" w:bidi="ar"/>
              </w:rPr>
              <w:t>批次成品检查，未按规定开展出厂检验，检验报告和原始检验记录数据不真实的，扣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企业自查发现风险，未立即采取整改并按规定向所在地市场监督管理部门报告的，扣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对检查发现的问题，未查找原因或未严格落实整改措施，扣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57</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现场未提供产品注册或备案的技术要求相关材料的，扣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57</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未严格按照注册或备案的技术要求组织生产，产品标识标注不规范的，扣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r>
              <w:rPr>
                <w:rFonts w:ascii="仿宋_GB2312" w:hAnsi="Times New Roman" w:eastAsia="仿宋_GB2312" w:cs="仿宋_GB2312"/>
                <w:i w:val="0"/>
                <w:iCs w:val="0"/>
                <w:color w:val="000000"/>
                <w:kern w:val="0"/>
                <w:sz w:val="24"/>
                <w:szCs w:val="24"/>
                <w:u w:val="none"/>
                <w:lang w:val="en-US" w:eastAsia="zh-CN" w:bidi="ar"/>
              </w:rPr>
              <w:t>产品追溯</w:t>
            </w:r>
          </w:p>
        </w:tc>
        <w:tc>
          <w:tcPr>
            <w:tcW w:w="2268"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现场未提供食品安全追溯体系或追溯制度的，扣</w:t>
            </w:r>
            <w:r>
              <w:rPr>
                <w:rFonts w:hint="default" w:ascii="Times New Roman" w:hAnsi="Times New Roman" w:eastAsia="宋体" w:cs="Times New Roman"/>
                <w:i w:val="0"/>
                <w:iCs w:val="0"/>
                <w:color w:val="000000"/>
                <w:kern w:val="0"/>
                <w:sz w:val="24"/>
                <w:szCs w:val="24"/>
                <w:u w:val="none"/>
                <w:lang w:val="en-US" w:eastAsia="zh-CN" w:bidi="ar"/>
              </w:rPr>
              <w:t>0.5</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32</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企业食品安全追溯体系不健全，无法确保记录真实完整，产品来源可查、去向可追的，扣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r>
              <w:rPr>
                <w:rFonts w:ascii="仿宋_GB2312" w:hAnsi="Times New Roman" w:eastAsia="仿宋_GB2312" w:cs="仿宋_GB2312"/>
                <w:i w:val="0"/>
                <w:iCs w:val="0"/>
                <w:color w:val="000000"/>
                <w:kern w:val="0"/>
                <w:sz w:val="24"/>
                <w:szCs w:val="24"/>
                <w:u w:val="none"/>
                <w:lang w:val="en-US" w:eastAsia="zh-CN" w:bidi="ar"/>
              </w:rPr>
              <w:t>诚信文化</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69</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33</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未提供开展诚信守法教育活动，无相关证明材料，扣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其中，重点检查属于有因检查类型，根据抽检情况、舆情反映、投诉举报等线索，对相关食品经营者开展的有针对性的监督检查。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2.没有婴幼儿配方乳粉、特殊医学用途配方食品生产企业的城市，评审时有关内容可作为合理缺项。</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3.体系检查由省级局组织开展的，重点评价市局参与检查的情况，以及督促企业问题整改、依法查处违法违规行为的情况。应当查看近年来的体系检查工作开展情况。</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4.“（5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5.“（5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6.“（5</w:t>
      </w:r>
      <w:r>
        <w:rPr>
          <w:rFonts w:hint="eastAsia" w:ascii="Times New Roman" w:hAnsi="Times New Roman" w:eastAsia="楷体_GB2312"/>
          <w:sz w:val="28"/>
          <w:szCs w:val="28"/>
          <w:lang w:val="en-US" w:eastAsia="zh-CN"/>
        </w:rPr>
        <w:t>4</w:t>
      </w:r>
      <w:r>
        <w:rPr>
          <w:rFonts w:hint="eastAsia" w:ascii="Times New Roman" w:hAnsi="Times New Roman" w:eastAsia="楷体_GB2312"/>
          <w:sz w:val="28"/>
          <w:szCs w:val="28"/>
        </w:rPr>
        <w:t>）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81B5EF0"/>
    <w:rsid w:val="0AC85742"/>
    <w:rsid w:val="184473D8"/>
    <w:rsid w:val="1BB10A7E"/>
    <w:rsid w:val="1EF34102"/>
    <w:rsid w:val="2CB50578"/>
    <w:rsid w:val="2CDA6E30"/>
    <w:rsid w:val="33E552A9"/>
    <w:rsid w:val="35F029FD"/>
    <w:rsid w:val="43067708"/>
    <w:rsid w:val="4605452E"/>
    <w:rsid w:val="46E502D3"/>
    <w:rsid w:val="50BD5D72"/>
    <w:rsid w:val="56811F6E"/>
    <w:rsid w:val="5A8C25F7"/>
    <w:rsid w:val="67777244"/>
    <w:rsid w:val="689E5B40"/>
    <w:rsid w:val="69AB1B12"/>
    <w:rsid w:val="6AE23A6C"/>
    <w:rsid w:val="6BDB79E0"/>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2023-01-06T09:28:38Z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B67A17C0B2C8490EA6B258D4F54D3B76</vt:lpwstr>
  </property>
</Properties>
</file>