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360" w:lineRule="exact"/>
        <w:jc w:val="left"/>
        <w:rPr>
          <w:rFonts w:ascii="Times New Roman" w:hAnsi="Times New Roman" w:eastAsia="黑体"/>
          <w:sz w:val="32"/>
          <w:szCs w:val="32"/>
        </w:rPr>
      </w:pPr>
      <w:r>
        <w:rPr>
          <w:rFonts w:ascii="Times New Roman" w:hAnsi="Times New Roman" w:eastAsia="黑体"/>
          <w:sz w:val="32"/>
          <w:szCs w:val="32"/>
        </w:rPr>
        <w:t>明查表2</w:t>
      </w:r>
    </w:p>
    <w:p>
      <w:pPr>
        <w:jc w:val="center"/>
        <w:rPr>
          <w:rFonts w:hint="eastAsia" w:ascii="方正小标宋简体" w:hAnsi="方正小标宋简体" w:eastAsia="方正小标宋简体" w:cs="方正小标宋简体"/>
          <w:color w:val="auto"/>
          <w:sz w:val="36"/>
          <w:szCs w:val="36"/>
          <w:lang w:val="en-US" w:eastAsia="zh-CN"/>
        </w:rPr>
      </w:pPr>
      <w:bookmarkStart w:id="0" w:name="_GoBack"/>
      <w:r>
        <w:rPr>
          <w:rFonts w:hint="eastAsia" w:ascii="方正小标宋简体" w:hAnsi="方正小标宋简体" w:eastAsia="方正小标宋简体" w:cs="方正小标宋简体"/>
          <w:color w:val="auto"/>
          <w:sz w:val="36"/>
          <w:szCs w:val="36"/>
        </w:rPr>
        <w:t>婴幼儿配方乳粉生产企业</w:t>
      </w:r>
      <w:r>
        <w:rPr>
          <w:rFonts w:hint="eastAsia" w:ascii="方正小标宋简体" w:hAnsi="方正小标宋简体" w:eastAsia="方正小标宋简体" w:cs="方正小标宋简体"/>
          <w:color w:val="auto"/>
          <w:sz w:val="36"/>
          <w:szCs w:val="36"/>
          <w:lang w:val="en-US" w:eastAsia="zh-CN"/>
        </w:rPr>
        <w:t>明查打分表</w:t>
      </w:r>
    </w:p>
    <w:bookmarkEnd w:id="0"/>
    <w:p>
      <w:pPr>
        <w:pStyle w:val="2"/>
        <w:rPr>
          <w:rFonts w:hint="default"/>
          <w:lang w:val="en-US" w:eastAsia="zh-CN"/>
        </w:rPr>
      </w:pPr>
      <w:r>
        <w:rPr>
          <w:rFonts w:hint="eastAsia"/>
          <w:lang w:val="en-US" w:eastAsia="zh-CN"/>
        </w:rPr>
        <w:t xml:space="preserve"> </w:t>
      </w:r>
    </w:p>
    <w:p>
      <w:pPr>
        <w:ind w:firstLine="240" w:firstLineChars="100"/>
        <w:rPr>
          <w:rFonts w:hint="eastAsia" w:ascii="黑体" w:hAnsi="黑体" w:eastAsia="黑体" w:cs="黑体"/>
          <w:color w:val="auto"/>
          <w:sz w:val="24"/>
          <w:szCs w:val="24"/>
          <w:lang w:val="en-US" w:eastAsia="zh-CN"/>
        </w:rPr>
      </w:pPr>
      <w:r>
        <w:rPr>
          <w:rFonts w:hint="eastAsia" w:ascii="黑体" w:hAnsi="黑体" w:eastAsia="黑体" w:cs="黑体"/>
          <w:color w:val="auto"/>
          <w:sz w:val="24"/>
          <w:szCs w:val="24"/>
          <w:lang w:val="en-US" w:eastAsia="zh-CN"/>
        </w:rPr>
        <w:t xml:space="preserve">业态类型：婴幼儿配方乳粉生产企业             单位名称（与许可一致）：                     所属街道：    </w:t>
      </w:r>
    </w:p>
    <w:tbl>
      <w:tblPr>
        <w:tblStyle w:val="13"/>
        <w:tblW w:w="13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700"/>
        <w:gridCol w:w="2267"/>
        <w:gridCol w:w="1134"/>
        <w:gridCol w:w="8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tblHeader/>
          <w:jc w:val="center"/>
        </w:trPr>
        <w:tc>
          <w:tcPr>
            <w:tcW w:w="1701" w:type="dxa"/>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评价要点</w:t>
            </w:r>
          </w:p>
        </w:tc>
        <w:tc>
          <w:tcPr>
            <w:tcW w:w="2268"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辽宁省评价标准</w:t>
            </w:r>
          </w:p>
        </w:tc>
        <w:tc>
          <w:tcPr>
            <w:tcW w:w="113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序号</w:t>
            </w:r>
          </w:p>
        </w:tc>
        <w:tc>
          <w:tcPr>
            <w:tcW w:w="8504" w:type="dxa"/>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检查要点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r>
              <w:rPr>
                <w:rFonts w:ascii="仿宋_GB2312" w:hAnsi="Times New Roman" w:eastAsia="仿宋_GB2312" w:cs="仿宋_GB2312"/>
                <w:i w:val="0"/>
                <w:iCs w:val="0"/>
                <w:color w:val="000000"/>
                <w:kern w:val="0"/>
                <w:sz w:val="24"/>
                <w:szCs w:val="24"/>
                <w:u w:val="none"/>
                <w:lang w:val="en-US" w:eastAsia="zh-CN" w:bidi="ar"/>
              </w:rPr>
              <w:t>过程监督</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现场未公示风险等级，扣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现场未公示《日常监督检查结果记录表》扣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根据风险分级对比最近一次监督检查记录核实监督检查频次，满足频次要求或动态管理的，扣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现场未提供近两年接受体系检查的证明材料（检查结果通知、问题整改报告等），扣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22</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5</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整改报告显示问题整改率未达到</w:t>
            </w:r>
            <w:r>
              <w:rPr>
                <w:rFonts w:hint="default" w:ascii="Times New Roman" w:hAnsi="Times New Roman" w:eastAsia="宋体" w:cs="Times New Roman"/>
                <w:i w:val="0"/>
                <w:iCs w:val="0"/>
                <w:color w:val="000000"/>
                <w:kern w:val="0"/>
                <w:sz w:val="24"/>
                <w:szCs w:val="24"/>
                <w:u w:val="none"/>
                <w:lang w:val="en-US" w:eastAsia="zh-CN" w:bidi="ar"/>
              </w:rPr>
              <w:t>100%</w:t>
            </w:r>
            <w:r>
              <w:rPr>
                <w:rFonts w:ascii="仿宋_GB2312" w:hAnsi="Times New Roman" w:eastAsia="仿宋_GB2312" w:cs="仿宋_GB2312"/>
                <w:i w:val="0"/>
                <w:iCs w:val="0"/>
                <w:color w:val="000000"/>
                <w:kern w:val="0"/>
                <w:sz w:val="24"/>
                <w:szCs w:val="24"/>
                <w:u w:val="none"/>
                <w:lang w:val="en-US" w:eastAsia="zh-CN" w:bidi="ar"/>
              </w:rPr>
              <w:t>，现场实际情况与整改报告所述整改效果不一致，扣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r>
              <w:rPr>
                <w:rFonts w:ascii="仿宋_GB2312" w:hAnsi="Times New Roman" w:eastAsia="仿宋_GB2312" w:cs="仿宋_GB2312"/>
                <w:i w:val="0"/>
                <w:iCs w:val="0"/>
                <w:color w:val="000000"/>
                <w:kern w:val="0"/>
                <w:sz w:val="24"/>
                <w:szCs w:val="24"/>
                <w:u w:val="none"/>
                <w:lang w:val="en-US" w:eastAsia="zh-CN" w:bidi="ar"/>
              </w:rPr>
              <w:t>社会共治</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37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未开展食品安全宣传教育，扣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r>
              <w:rPr>
                <w:rFonts w:ascii="仿宋_GB2312" w:hAnsi="Times New Roman" w:eastAsia="仿宋_GB2312" w:cs="仿宋_GB2312"/>
                <w:i w:val="0"/>
                <w:iCs w:val="0"/>
                <w:color w:val="000000"/>
                <w:kern w:val="0"/>
                <w:sz w:val="24"/>
                <w:szCs w:val="24"/>
                <w:u w:val="none"/>
                <w:lang w:val="en-US" w:eastAsia="zh-CN" w:bidi="ar"/>
              </w:rPr>
              <w:t>管理制度</w:t>
            </w: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未健全食品安全管理制度的，扣0.1分。</w:t>
            </w:r>
            <w:r>
              <w:rPr>
                <w:rFonts w:hint="eastAsia" w:ascii="仿宋_GB2312" w:hAnsi="宋体" w:eastAsia="仿宋_GB2312" w:cs="仿宋_GB2312"/>
                <w:i w:val="0"/>
                <w:iCs w:val="0"/>
                <w:color w:val="000000"/>
                <w:kern w:val="0"/>
                <w:sz w:val="24"/>
                <w:szCs w:val="24"/>
                <w:u w:val="none"/>
                <w:lang w:val="en-US" w:eastAsia="zh-CN" w:bidi="ar"/>
              </w:rPr>
              <w:br w:type="textWrapping"/>
            </w:r>
            <w:r>
              <w:rPr>
                <w:rFonts w:hint="eastAsia" w:ascii="仿宋_GB2312" w:hAnsi="宋体" w:eastAsia="仿宋_GB2312" w:cs="仿宋_GB2312"/>
                <w:i w:val="0"/>
                <w:iCs w:val="0"/>
                <w:color w:val="000000"/>
                <w:kern w:val="0"/>
                <w:sz w:val="24"/>
                <w:szCs w:val="24"/>
                <w:u w:val="none"/>
                <w:lang w:val="en-US" w:eastAsia="zh-CN" w:bidi="ar"/>
              </w:rPr>
              <w:t>企业至少有8项食品安全管理制度：⑴从业人员健康管理制度、⑵进货查验记录制度、⑶生产过程控制制度、⑷出厂检验记录制度、⑸不安全食品召回制度、⑹食品安全自查制度、⑺食品安全事故处置方案、⑻日管控、周排查、月调度工作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现场未提供《食品安全总监职责》《食品安全员守则》文件，扣0.1分。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51</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现场未提供近两年加大食品质量安全管理投入的证明材料，扣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ascii="仿宋_GB2312" w:hAnsi="Times New Roman" w:eastAsia="仿宋_GB2312" w:cs="仿宋_GB2312"/>
                <w:i w:val="0"/>
                <w:iCs w:val="0"/>
                <w:color w:val="000000"/>
                <w:kern w:val="0"/>
                <w:sz w:val="24"/>
                <w:szCs w:val="24"/>
                <w:u w:val="none"/>
                <w:lang w:val="en-US" w:eastAsia="zh-CN" w:bidi="ar"/>
              </w:rPr>
              <w:t>体现加大投入的方式：包括但不限于用于改进食品安全风险管控的设备设施、追溯体系信息化建设、食品安全管理人员培训、实验室建设的相关证明等（能体现以上任有其一即可）。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未明确主要负责人、食品安全总监、食品安全员等人员的设立及调整情况的，扣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11</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现场未提供定期对从业人员及食品安全管理人员开展培训考核证明材料的，扣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52</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12</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现场随机抽查食品安全总监和食品安全员</w:t>
            </w:r>
            <w:r>
              <w:rPr>
                <w:rFonts w:hint="default" w:ascii="Times New Roman" w:hAnsi="Times New Roman" w:eastAsia="仿宋_GB2312" w:cs="Times New Roman"/>
                <w:i w:val="0"/>
                <w:iCs w:val="0"/>
                <w:color w:val="000000"/>
                <w:kern w:val="0"/>
                <w:sz w:val="24"/>
                <w:szCs w:val="24"/>
                <w:u w:val="none"/>
                <w:lang w:val="en-US" w:eastAsia="zh-CN" w:bidi="ar"/>
              </w:rPr>
              <w:t>“</w:t>
            </w:r>
            <w:r>
              <w:rPr>
                <w:rFonts w:ascii="仿宋_GB2312" w:hAnsi="宋体" w:eastAsia="仿宋_GB2312" w:cs="仿宋_GB2312"/>
                <w:i w:val="0"/>
                <w:iCs w:val="0"/>
                <w:color w:val="000000"/>
                <w:kern w:val="0"/>
                <w:sz w:val="24"/>
                <w:szCs w:val="24"/>
                <w:u w:val="none"/>
                <w:lang w:val="en-US" w:eastAsia="zh-CN" w:bidi="ar"/>
              </w:rPr>
              <w:t>食安员抽考</w:t>
            </w:r>
            <w:r>
              <w:rPr>
                <w:rFonts w:hint="default" w:ascii="Times New Roman" w:hAnsi="Times New Roman" w:eastAsia="仿宋_GB2312" w:cs="Times New Roman"/>
                <w:i w:val="0"/>
                <w:iCs w:val="0"/>
                <w:color w:val="000000"/>
                <w:kern w:val="0"/>
                <w:sz w:val="24"/>
                <w:szCs w:val="24"/>
                <w:u w:val="none"/>
                <w:lang w:val="en-US" w:eastAsia="zh-CN" w:bidi="ar"/>
              </w:rPr>
              <w:t>”APP</w:t>
            </w:r>
            <w:r>
              <w:rPr>
                <w:rFonts w:ascii="仿宋_GB2312" w:hAnsi="宋体" w:eastAsia="仿宋_GB2312" w:cs="仿宋_GB2312"/>
                <w:i w:val="0"/>
                <w:iCs w:val="0"/>
                <w:color w:val="000000"/>
                <w:kern w:val="0"/>
                <w:sz w:val="24"/>
                <w:szCs w:val="24"/>
                <w:u w:val="none"/>
                <w:lang w:val="en-US" w:eastAsia="zh-CN" w:bidi="ar"/>
              </w:rPr>
              <w:t>抽考记录，未合格的，扣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13</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未按照自查制度的频次对食品安全责任落实情况、食品安全状况进行自评自查的，扣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14</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未落实食品安全员日管控、食品安全总监周排查、主要责任人月调度工作机制的，扣0.1分。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15</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食品安全自查报告发现问题的，最近一次监督检查记录中记载发现问题的，未在规定期限内完成整改，扣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8504" w:type="dxa"/>
            <w:shd w:val="clear" w:color="auto" w:fill="auto"/>
            <w:vAlign w:val="center"/>
          </w:tcPr>
          <w:p>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从事接触直接入口食品工作的人员未取得健康证明，扣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17</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生产加工经营过程不符合相应生产工艺和操作规范，扣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加工场所内环境（包括地面、排水沟、墙面、顶棚、门窗等）未保持清洁，扣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19</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车间入口处及车间内必要处未设置更衣室，扣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更衣设施不能与生产量或工作人员数量相匹配，扣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21</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水龙头、烘干设备无法正常使用，扣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22</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仓库内原料、半成品、成品、包装材料未分设贮存场所、未分区码放，扣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23</w:t>
            </w:r>
          </w:p>
        </w:tc>
        <w:tc>
          <w:tcPr>
            <w:tcW w:w="8504" w:type="dxa"/>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现场抽查</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种食品原料、</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种食品相关产品、</w:t>
            </w:r>
            <w:r>
              <w:rPr>
                <w:rFonts w:hint="default" w:ascii="Times New Roman" w:hAnsi="Times New Roman" w:eastAsia="宋体" w:cs="Times New Roman"/>
                <w:i w:val="0"/>
                <w:iCs w:val="0"/>
                <w:color w:val="000000"/>
                <w:kern w:val="0"/>
                <w:sz w:val="24"/>
                <w:szCs w:val="24"/>
                <w:u w:val="none"/>
                <w:lang w:val="en-US" w:eastAsia="zh-CN" w:bidi="ar"/>
              </w:rPr>
              <w:t>1</w:t>
            </w:r>
            <w:r>
              <w:rPr>
                <w:rFonts w:ascii="仿宋_GB2312" w:hAnsi="Times New Roman" w:eastAsia="仿宋_GB2312" w:cs="仿宋_GB2312"/>
                <w:i w:val="0"/>
                <w:iCs w:val="0"/>
                <w:color w:val="000000"/>
                <w:kern w:val="0"/>
                <w:sz w:val="24"/>
                <w:szCs w:val="24"/>
                <w:u w:val="none"/>
                <w:lang w:val="en-US" w:eastAsia="zh-CN" w:bidi="ar"/>
              </w:rPr>
              <w:t>种食品添加剂，查看进货查验记录、索证索票，记录内容和票据不全的，扣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24</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未对抽查的品种，建立和保存贮存、保管记录和领用出库记录的，扣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25</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随机抽查</w:t>
            </w:r>
            <w:r>
              <w:rPr>
                <w:rFonts w:hint="default" w:ascii="Times New Roman" w:hAnsi="Times New Roman" w:eastAsia="宋体" w:cs="Times New Roman"/>
                <w:i w:val="0"/>
                <w:iCs w:val="0"/>
                <w:color w:val="000000"/>
                <w:kern w:val="0"/>
                <w:sz w:val="24"/>
                <w:szCs w:val="24"/>
                <w:u w:val="none"/>
                <w:lang w:val="en-US" w:eastAsia="zh-CN" w:bidi="ar"/>
              </w:rPr>
              <w:t>1-3</w:t>
            </w:r>
            <w:r>
              <w:rPr>
                <w:rFonts w:ascii="仿宋_GB2312" w:hAnsi="Times New Roman" w:eastAsia="仿宋_GB2312" w:cs="仿宋_GB2312"/>
                <w:i w:val="0"/>
                <w:iCs w:val="0"/>
                <w:color w:val="000000"/>
                <w:kern w:val="0"/>
                <w:sz w:val="24"/>
                <w:szCs w:val="24"/>
                <w:u w:val="none"/>
                <w:lang w:val="en-US" w:eastAsia="zh-CN" w:bidi="ar"/>
              </w:rPr>
              <w:t>批次成品检查，未按规定开展出厂检验，检验报告和原始检验记录数据不真实的，扣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26</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企业自查发现风险，未立即采取整改并按规定向所在地市场监督管理部门报告的，扣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54</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27</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对检查发现的问题，未查找原因或未严格落实整改措施，扣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55</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28</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ascii="仿宋_GB2312" w:hAnsi="Times New Roman" w:eastAsia="仿宋_GB2312" w:cs="仿宋_GB2312"/>
                <w:i w:val="0"/>
                <w:iCs w:val="0"/>
                <w:color w:val="000000"/>
                <w:kern w:val="0"/>
                <w:sz w:val="24"/>
                <w:szCs w:val="24"/>
                <w:u w:val="none"/>
                <w:lang w:val="en-US" w:eastAsia="zh-CN" w:bidi="ar"/>
              </w:rPr>
              <w:t>现场未提供体系认证证书</w:t>
            </w:r>
            <w:r>
              <w:rPr>
                <w:rFonts w:hint="default" w:ascii="Times New Roman" w:hAnsi="Times New Roman" w:eastAsia="宋体" w:cs="Times New Roman"/>
                <w:i w:val="0"/>
                <w:iCs w:val="0"/>
                <w:color w:val="000000"/>
                <w:kern w:val="0"/>
                <w:sz w:val="24"/>
                <w:szCs w:val="24"/>
                <w:u w:val="none"/>
                <w:lang w:val="en-US" w:eastAsia="zh-CN" w:bidi="ar"/>
              </w:rPr>
              <w:t>(GMP</w:t>
            </w:r>
            <w:r>
              <w:rPr>
                <w:rFonts w:ascii="仿宋_GB2312" w:hAnsi="Times New Roman" w:eastAsia="仿宋_GB2312" w:cs="仿宋_GB2312"/>
                <w:i w:val="0"/>
                <w:iCs w:val="0"/>
                <w:color w:val="000000"/>
                <w:kern w:val="0"/>
                <w:sz w:val="24"/>
                <w:szCs w:val="24"/>
                <w:u w:val="none"/>
                <w:lang w:val="en-US" w:eastAsia="zh-CN" w:bidi="ar"/>
              </w:rPr>
              <w:t>与</w:t>
            </w:r>
            <w:r>
              <w:rPr>
                <w:rFonts w:hint="default" w:ascii="Times New Roman" w:hAnsi="Times New Roman" w:eastAsia="宋体" w:cs="Times New Roman"/>
                <w:i w:val="0"/>
                <w:iCs w:val="0"/>
                <w:color w:val="000000"/>
                <w:kern w:val="0"/>
                <w:sz w:val="24"/>
                <w:szCs w:val="24"/>
                <w:u w:val="none"/>
                <w:lang w:val="en-US" w:eastAsia="zh-CN" w:bidi="ar"/>
              </w:rPr>
              <w:t>HACCP</w:t>
            </w:r>
            <w:r>
              <w:rPr>
                <w:rFonts w:ascii="仿宋_GB2312" w:hAnsi="Times New Roman" w:eastAsia="仿宋_GB2312" w:cs="仿宋_GB2312"/>
                <w:i w:val="0"/>
                <w:iCs w:val="0"/>
                <w:color w:val="000000"/>
                <w:kern w:val="0"/>
                <w:sz w:val="24"/>
                <w:szCs w:val="24"/>
                <w:u w:val="none"/>
                <w:lang w:val="en-US" w:eastAsia="zh-CN" w:bidi="ar"/>
              </w:rPr>
              <w:t>或</w:t>
            </w:r>
            <w:r>
              <w:rPr>
                <w:rFonts w:hint="default" w:ascii="Times New Roman" w:hAnsi="Times New Roman" w:eastAsia="宋体" w:cs="Times New Roman"/>
                <w:i w:val="0"/>
                <w:iCs w:val="0"/>
                <w:color w:val="000000"/>
                <w:kern w:val="0"/>
                <w:sz w:val="24"/>
                <w:szCs w:val="24"/>
                <w:u w:val="none"/>
                <w:lang w:val="en-US" w:eastAsia="zh-CN" w:bidi="ar"/>
              </w:rPr>
              <w:t>ISO22000</w:t>
            </w:r>
            <w:r>
              <w:rPr>
                <w:rFonts w:ascii="仿宋_GB2312" w:hAnsi="Times New Roman" w:eastAsia="仿宋_GB2312" w:cs="仿宋_GB2312"/>
                <w:i w:val="0"/>
                <w:iCs w:val="0"/>
                <w:color w:val="000000"/>
                <w:kern w:val="0"/>
                <w:sz w:val="24"/>
                <w:szCs w:val="24"/>
                <w:u w:val="none"/>
                <w:lang w:val="en-US" w:eastAsia="zh-CN" w:bidi="ar"/>
              </w:rPr>
              <w:t>）的，扣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29</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hint="eastAsia" w:ascii="仿宋_GB2312" w:hAnsi="宋体" w:eastAsia="仿宋_GB2312" w:cs="仿宋_GB2312"/>
                <w:i w:val="0"/>
                <w:iCs w:val="0"/>
                <w:color w:val="000000"/>
                <w:kern w:val="0"/>
                <w:sz w:val="24"/>
                <w:szCs w:val="24"/>
                <w:u w:val="none"/>
                <w:lang w:val="en-US" w:eastAsia="zh-CN" w:bidi="ar"/>
              </w:rPr>
              <w:t>产品未按照有关法律法规和婴幼儿配方乳粉食品安全国家标准规定的项目实施逐批检验，存在未检验或无检验报告的情况，扣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30</w:t>
            </w:r>
          </w:p>
        </w:tc>
        <w:tc>
          <w:tcPr>
            <w:tcW w:w="8504" w:type="dxa"/>
            <w:shd w:val="clear" w:color="auto" w:fill="auto"/>
            <w:vAlign w:val="center"/>
          </w:tcPr>
          <w:p>
            <w:pPr>
              <w:keepNext w:val="0"/>
              <w:keepLines w:val="0"/>
              <w:widowControl/>
              <w:suppressLineNumbers w:val="0"/>
              <w:jc w:val="both"/>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存在产品标识标注情况不规范，扣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31</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未做到有自建自控奶源，或者对于主要原料供应商定期审核，做到原料质量稳定可控，扣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sz w:val="24"/>
                <w:szCs w:val="24"/>
                <w:u w:val="none"/>
              </w:rPr>
            </w:pPr>
          </w:p>
        </w:tc>
        <w:tc>
          <w:tcPr>
            <w:tcW w:w="2268"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56</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32</w:t>
            </w:r>
          </w:p>
        </w:tc>
        <w:tc>
          <w:tcPr>
            <w:tcW w:w="8504" w:type="dxa"/>
            <w:shd w:val="clear" w:color="auto" w:fill="auto"/>
            <w:vAlign w:val="center"/>
          </w:tcPr>
          <w:p>
            <w:pPr>
              <w:keepNext w:val="0"/>
              <w:keepLines w:val="0"/>
              <w:widowControl/>
              <w:suppressLineNumbers w:val="0"/>
              <w:jc w:val="both"/>
              <w:textAlignment w:val="center"/>
              <w:rPr>
                <w:rFonts w:hint="eastAsia" w:ascii="仿宋_GB2312" w:hAnsi="宋体" w:eastAsia="仿宋_GB2312" w:cs="仿宋_GB2312"/>
                <w:i w:val="0"/>
                <w:iCs w:val="0"/>
                <w:color w:val="000000"/>
                <w:sz w:val="24"/>
                <w:szCs w:val="24"/>
                <w:u w:val="none"/>
              </w:rPr>
            </w:pPr>
            <w:r>
              <w:rPr>
                <w:rFonts w:hint="eastAsia" w:ascii="仿宋_GB2312" w:hAnsi="宋体" w:eastAsia="仿宋_GB2312" w:cs="仿宋_GB2312"/>
                <w:i w:val="0"/>
                <w:iCs w:val="0"/>
                <w:color w:val="000000"/>
                <w:kern w:val="0"/>
                <w:sz w:val="24"/>
                <w:szCs w:val="24"/>
                <w:u w:val="none"/>
                <w:lang w:val="en-US" w:eastAsia="zh-CN" w:bidi="ar"/>
              </w:rPr>
              <w:t>存在进口大包装婴幼儿配方乳粉境内分装情况，扣</w:t>
            </w:r>
            <w:r>
              <w:rPr>
                <w:rFonts w:hint="default" w:ascii="Times New Roman" w:hAnsi="Times New Roman" w:eastAsia="仿宋_GB2312" w:cs="Times New Roman"/>
                <w:i w:val="0"/>
                <w:iCs w:val="0"/>
                <w:color w:val="000000"/>
                <w:kern w:val="0"/>
                <w:sz w:val="24"/>
                <w:szCs w:val="24"/>
                <w:u w:val="none"/>
                <w:lang w:val="en-US" w:eastAsia="zh-CN" w:bidi="ar"/>
              </w:rPr>
              <w:t>0.1</w:t>
            </w:r>
            <w:r>
              <w:rPr>
                <w:rFonts w:ascii="仿宋_GB2312" w:hAnsi="宋体"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33</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现场未提供产品注册或备案的技术要求相关材料的，扣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宋体" w:eastAsia="仿宋_GB2312" w:cs="仿宋_GB2312"/>
                <w:i w:val="0"/>
                <w:iCs w:val="0"/>
                <w:color w:val="000000"/>
                <w:kern w:val="0"/>
                <w:sz w:val="24"/>
                <w:szCs w:val="24"/>
                <w:u w:val="none"/>
                <w:lang w:val="en-US" w:eastAsia="zh-CN" w:bidi="ar"/>
              </w:rPr>
              <w:t>（</w:t>
            </w:r>
            <w:r>
              <w:rPr>
                <w:rFonts w:hint="default" w:ascii="Times New Roman" w:hAnsi="Times New Roman" w:eastAsia="仿宋_GB2312" w:cs="Times New Roman"/>
                <w:i w:val="0"/>
                <w:iCs w:val="0"/>
                <w:color w:val="000000"/>
                <w:kern w:val="0"/>
                <w:sz w:val="24"/>
                <w:szCs w:val="24"/>
                <w:u w:val="none"/>
                <w:lang w:val="en-US" w:eastAsia="zh-CN" w:bidi="ar"/>
              </w:rPr>
              <w:t>57</w:t>
            </w:r>
            <w:r>
              <w:rPr>
                <w:rFonts w:ascii="仿宋_GB2312" w:hAnsi="宋体"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34</w:t>
            </w:r>
          </w:p>
        </w:tc>
        <w:tc>
          <w:tcPr>
            <w:tcW w:w="8504" w:type="dxa"/>
            <w:shd w:val="clear" w:color="auto" w:fill="auto"/>
            <w:vAlign w:val="center"/>
          </w:tcPr>
          <w:p>
            <w:pPr>
              <w:keepNext w:val="0"/>
              <w:keepLines w:val="0"/>
              <w:widowControl/>
              <w:suppressLineNumbers w:val="0"/>
              <w:jc w:val="left"/>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未严格按照注册或备案的技术要求组织生产，产品标识标注不规范的，扣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0" w:hRule="atLeast"/>
          <w:jc w:val="center"/>
        </w:trPr>
        <w:tc>
          <w:tcPr>
            <w:tcW w:w="1701" w:type="dxa"/>
            <w:vMerge w:val="restart"/>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21.</w:t>
            </w:r>
            <w:r>
              <w:rPr>
                <w:rFonts w:ascii="仿宋_GB2312" w:hAnsi="Times New Roman" w:eastAsia="仿宋_GB2312" w:cs="仿宋_GB2312"/>
                <w:i w:val="0"/>
                <w:iCs w:val="0"/>
                <w:color w:val="000000"/>
                <w:kern w:val="0"/>
                <w:sz w:val="24"/>
                <w:szCs w:val="24"/>
                <w:u w:val="none"/>
                <w:lang w:val="en-US" w:eastAsia="zh-CN" w:bidi="ar"/>
              </w:rPr>
              <w:t>产品追溯</w:t>
            </w:r>
          </w:p>
        </w:tc>
        <w:tc>
          <w:tcPr>
            <w:tcW w:w="2268" w:type="dxa"/>
            <w:vMerge w:val="restart"/>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67</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eastAsia" w:ascii="Times New Roman" w:hAnsi="Times New Roman" w:cs="Times New Roman"/>
                <w:i w:val="0"/>
                <w:iCs w:val="0"/>
                <w:color w:val="000000"/>
                <w:kern w:val="0"/>
                <w:sz w:val="24"/>
                <w:szCs w:val="24"/>
                <w:u w:val="none"/>
                <w:lang w:val="en-US" w:eastAsia="zh-CN" w:bidi="ar"/>
              </w:rPr>
              <w:t>35</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现场未提供食品安全追溯体系或追溯制度的，扣</w:t>
            </w:r>
            <w:r>
              <w:rPr>
                <w:rFonts w:hint="default" w:ascii="Times New Roman" w:hAnsi="Times New Roman" w:eastAsia="宋体" w:cs="Times New Roman"/>
                <w:i w:val="0"/>
                <w:iCs w:val="0"/>
                <w:color w:val="000000"/>
                <w:kern w:val="0"/>
                <w:sz w:val="24"/>
                <w:szCs w:val="24"/>
                <w:u w:val="none"/>
                <w:lang w:val="en-US" w:eastAsia="zh-CN" w:bidi="ar"/>
              </w:rPr>
              <w:t>0.5</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vMerge w:val="continue"/>
            <w:shd w:val="clear" w:color="auto" w:fill="auto"/>
            <w:vAlign w:val="center"/>
          </w:tcPr>
          <w:p>
            <w:pPr>
              <w:jc w:val="center"/>
              <w:rPr>
                <w:rFonts w:hint="default" w:ascii="Times New Roman" w:hAnsi="Times New Roman" w:eastAsia="宋体" w:cs="Times New Roman"/>
                <w:i w:val="0"/>
                <w:iCs w:val="0"/>
                <w:color w:val="000000"/>
                <w:kern w:val="0"/>
                <w:sz w:val="24"/>
                <w:szCs w:val="24"/>
                <w:u w:val="none"/>
                <w:lang w:val="en-US" w:eastAsia="zh-CN" w:bidi="ar"/>
              </w:rPr>
            </w:pPr>
          </w:p>
        </w:tc>
        <w:tc>
          <w:tcPr>
            <w:tcW w:w="2268" w:type="dxa"/>
            <w:vMerge w:val="continue"/>
            <w:shd w:val="clear" w:color="auto" w:fill="auto"/>
            <w:vAlign w:val="center"/>
          </w:tcPr>
          <w:p>
            <w:pPr>
              <w:jc w:val="center"/>
              <w:rPr>
                <w:rFonts w:ascii="仿宋_GB2312" w:hAnsi="Times New Roman" w:eastAsia="仿宋_GB2312" w:cs="仿宋_GB2312"/>
                <w:i w:val="0"/>
                <w:iCs w:val="0"/>
                <w:color w:val="000000"/>
                <w:kern w:val="0"/>
                <w:sz w:val="24"/>
                <w:szCs w:val="24"/>
                <w:u w:val="none"/>
                <w:lang w:val="en-US" w:eastAsia="zh-CN" w:bidi="ar"/>
              </w:rPr>
            </w:pP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cs="Times New Roman"/>
                <w:i w:val="0"/>
                <w:iCs w:val="0"/>
                <w:color w:val="000000"/>
                <w:kern w:val="0"/>
                <w:sz w:val="24"/>
                <w:szCs w:val="24"/>
                <w:u w:val="none"/>
                <w:lang w:val="en-US" w:eastAsia="zh-CN" w:bidi="ar"/>
              </w:rPr>
              <w:t>6</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企业食品安全追溯体系不健全，无法确保记录真实完整，产品来源可查、去向可追的，扣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701"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23.</w:t>
            </w:r>
            <w:r>
              <w:rPr>
                <w:rFonts w:ascii="仿宋_GB2312" w:hAnsi="Times New Roman" w:eastAsia="仿宋_GB2312" w:cs="仿宋_GB2312"/>
                <w:i w:val="0"/>
                <w:iCs w:val="0"/>
                <w:color w:val="000000"/>
                <w:kern w:val="0"/>
                <w:sz w:val="24"/>
                <w:szCs w:val="24"/>
                <w:u w:val="none"/>
                <w:lang w:val="en-US" w:eastAsia="zh-CN" w:bidi="ar"/>
              </w:rPr>
              <w:t>诚信文化</w:t>
            </w:r>
          </w:p>
        </w:tc>
        <w:tc>
          <w:tcPr>
            <w:tcW w:w="2268" w:type="dxa"/>
            <w:shd w:val="clear" w:color="auto" w:fill="auto"/>
            <w:vAlign w:val="center"/>
          </w:tcPr>
          <w:p>
            <w:pPr>
              <w:keepNext w:val="0"/>
              <w:keepLines w:val="0"/>
              <w:widowControl/>
              <w:suppressLineNumbers w:val="0"/>
              <w:jc w:val="center"/>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69</w:t>
            </w:r>
            <w:r>
              <w:rPr>
                <w:rFonts w:ascii="仿宋_GB2312" w:hAnsi="Times New Roman" w:eastAsia="仿宋_GB2312" w:cs="仿宋_GB2312"/>
                <w:i w:val="0"/>
                <w:iCs w:val="0"/>
                <w:color w:val="000000"/>
                <w:kern w:val="0"/>
                <w:sz w:val="24"/>
                <w:szCs w:val="24"/>
                <w:u w:val="none"/>
                <w:lang w:val="en-US" w:eastAsia="zh-CN" w:bidi="ar"/>
              </w:rPr>
              <w:t>）</w:t>
            </w:r>
          </w:p>
        </w:tc>
        <w:tc>
          <w:tcPr>
            <w:tcW w:w="1134" w:type="dxa"/>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w:t>
            </w:r>
            <w:r>
              <w:rPr>
                <w:rFonts w:hint="eastAsia" w:ascii="Times New Roman" w:hAnsi="Times New Roman" w:cs="Times New Roman"/>
                <w:i w:val="0"/>
                <w:iCs w:val="0"/>
                <w:color w:val="000000"/>
                <w:kern w:val="0"/>
                <w:sz w:val="24"/>
                <w:szCs w:val="24"/>
                <w:u w:val="none"/>
                <w:lang w:val="en-US" w:eastAsia="zh-CN" w:bidi="ar"/>
              </w:rPr>
              <w:t>7</w:t>
            </w:r>
          </w:p>
        </w:tc>
        <w:tc>
          <w:tcPr>
            <w:tcW w:w="8504" w:type="dxa"/>
            <w:shd w:val="clear" w:color="auto" w:fill="auto"/>
            <w:vAlign w:val="center"/>
          </w:tcPr>
          <w:p>
            <w:pPr>
              <w:keepNext w:val="0"/>
              <w:keepLines w:val="0"/>
              <w:widowControl/>
              <w:suppressLineNumbers w:val="0"/>
              <w:jc w:val="both"/>
              <w:textAlignment w:val="center"/>
              <w:rPr>
                <w:rFonts w:ascii="仿宋_GB2312" w:hAnsi="Times New Roman" w:eastAsia="仿宋_GB2312" w:cs="仿宋_GB2312"/>
                <w:i w:val="0"/>
                <w:iCs w:val="0"/>
                <w:color w:val="000000"/>
                <w:kern w:val="0"/>
                <w:sz w:val="24"/>
                <w:szCs w:val="24"/>
                <w:u w:val="none"/>
                <w:lang w:val="en-US" w:eastAsia="zh-CN" w:bidi="ar"/>
              </w:rPr>
            </w:pPr>
            <w:r>
              <w:rPr>
                <w:rFonts w:ascii="仿宋_GB2312" w:hAnsi="Times New Roman" w:eastAsia="仿宋_GB2312" w:cs="仿宋_GB2312"/>
                <w:i w:val="0"/>
                <w:iCs w:val="0"/>
                <w:color w:val="000000"/>
                <w:kern w:val="0"/>
                <w:sz w:val="24"/>
                <w:szCs w:val="24"/>
                <w:u w:val="none"/>
                <w:lang w:val="en-US" w:eastAsia="zh-CN" w:bidi="ar"/>
              </w:rPr>
              <w:t>未提供开展诚信守法教育活动，无相关证明材料，扣</w:t>
            </w:r>
            <w:r>
              <w:rPr>
                <w:rFonts w:hint="default" w:ascii="Times New Roman" w:hAnsi="Times New Roman" w:eastAsia="宋体" w:cs="Times New Roman"/>
                <w:i w:val="0"/>
                <w:iCs w:val="0"/>
                <w:color w:val="000000"/>
                <w:kern w:val="0"/>
                <w:sz w:val="24"/>
                <w:szCs w:val="24"/>
                <w:u w:val="none"/>
                <w:lang w:val="en-US" w:eastAsia="zh-CN" w:bidi="ar"/>
              </w:rPr>
              <w:t>0.1</w:t>
            </w:r>
            <w:r>
              <w:rPr>
                <w:rFonts w:ascii="仿宋_GB2312" w:hAnsi="Times New Roman" w:eastAsia="仿宋_GB2312" w:cs="仿宋_GB2312"/>
                <w:i w:val="0"/>
                <w:iCs w:val="0"/>
                <w:color w:val="000000"/>
                <w:kern w:val="0"/>
                <w:sz w:val="24"/>
                <w:szCs w:val="24"/>
                <w:u w:val="none"/>
                <w:lang w:val="en-US" w:eastAsia="zh-CN" w:bidi="ar"/>
              </w:rPr>
              <w:t>分。</w:t>
            </w:r>
          </w:p>
        </w:tc>
      </w:tr>
    </w:tbl>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其中，重点检查属于有因检查类型，根据抽检情况、舆情反映、投诉举报等线索，对相关食品经营者开展的有针对性的监督检查。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2.没有婴幼儿配方乳粉、特殊医学用途配方食品生产企业的城市，评审时有关内容可作为合理缺项。</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3.体系检查由省级局组织开展的，重点评价市局参与检查的情况，以及督促企业问题整改、依法查处违法违规行为的情况。应当查看近年来的体系检查工作开展情况。</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4.“（5</w:t>
      </w:r>
      <w:r>
        <w:rPr>
          <w:rFonts w:hint="eastAsia" w:ascii="Times New Roman" w:hAnsi="Times New Roman" w:eastAsia="楷体_GB2312"/>
          <w:sz w:val="28"/>
          <w:szCs w:val="28"/>
          <w:lang w:val="en-US" w:eastAsia="zh-CN"/>
        </w:rPr>
        <w:t>1</w:t>
      </w:r>
      <w:r>
        <w:rPr>
          <w:rFonts w:hint="eastAsia" w:ascii="Times New Roman" w:hAnsi="Times New Roman" w:eastAsia="楷体_GB2312"/>
          <w:sz w:val="28"/>
          <w:szCs w:val="28"/>
        </w:rPr>
        <w:t>）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5.“（5</w:t>
      </w:r>
      <w:r>
        <w:rPr>
          <w:rFonts w:hint="eastAsia" w:ascii="Times New Roman" w:hAnsi="Times New Roman" w:eastAsia="楷体_GB2312"/>
          <w:sz w:val="28"/>
          <w:szCs w:val="28"/>
          <w:lang w:val="en-US" w:eastAsia="zh-CN"/>
        </w:rPr>
        <w:t>2</w:t>
      </w:r>
      <w:r>
        <w:rPr>
          <w:rFonts w:hint="eastAsia" w:ascii="Times New Roman" w:hAnsi="Times New Roman" w:eastAsia="楷体_GB2312"/>
          <w:sz w:val="28"/>
          <w:szCs w:val="28"/>
        </w:rPr>
        <w:t>）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8"/>
          <w:szCs w:val="28"/>
        </w:rPr>
      </w:pPr>
      <w:r>
        <w:rPr>
          <w:rFonts w:hint="eastAsia" w:ascii="Times New Roman" w:hAnsi="Times New Roman" w:eastAsia="楷体_GB2312"/>
          <w:sz w:val="28"/>
          <w:szCs w:val="28"/>
        </w:rPr>
        <w:t>6.“（5</w:t>
      </w:r>
      <w:r>
        <w:rPr>
          <w:rFonts w:hint="eastAsia" w:ascii="Times New Roman" w:hAnsi="Times New Roman" w:eastAsia="楷体_GB2312"/>
          <w:sz w:val="28"/>
          <w:szCs w:val="28"/>
          <w:lang w:val="en-US" w:eastAsia="zh-CN"/>
        </w:rPr>
        <w:t>4</w:t>
      </w:r>
      <w:r>
        <w:rPr>
          <w:rFonts w:hint="eastAsia" w:ascii="Times New Roman" w:hAnsi="Times New Roman" w:eastAsia="楷体_GB2312"/>
          <w:sz w:val="28"/>
          <w:szCs w:val="28"/>
        </w:rPr>
        <w:t>）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5A8C25F7"/>
    <w:rsid w:val="081B5EF0"/>
    <w:rsid w:val="0AC85742"/>
    <w:rsid w:val="184473D8"/>
    <w:rsid w:val="1BB10A7E"/>
    <w:rsid w:val="1EF34102"/>
    <w:rsid w:val="2CB50578"/>
    <w:rsid w:val="2CDA6E30"/>
    <w:rsid w:val="33E552A9"/>
    <w:rsid w:val="35F029FD"/>
    <w:rsid w:val="43067708"/>
    <w:rsid w:val="4605452E"/>
    <w:rsid w:val="46E502D3"/>
    <w:rsid w:val="50BD5D72"/>
    <w:rsid w:val="5A8C25F7"/>
    <w:rsid w:val="67777244"/>
    <w:rsid w:val="689E5B40"/>
    <w:rsid w:val="69AB1B12"/>
    <w:rsid w:val="6AE23A6C"/>
    <w:rsid w:val="6BDB79E0"/>
    <w:rsid w:val="6D79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keepLines/>
      <w:tabs>
        <w:tab w:val="left" w:pos="0"/>
      </w:tabs>
      <w:adjustRightInd w:val="0"/>
      <w:snapToGrid w:val="0"/>
      <w:spacing w:line="240" w:lineRule="auto"/>
      <w:ind w:firstLine="0" w:firstLineChars="0"/>
      <w:jc w:val="center"/>
      <w:outlineLvl w:val="0"/>
    </w:pPr>
    <w:rPr>
      <w:rFonts w:ascii="Times New Roman" w:hAnsi="Times New Roman" w:eastAsia="方正小标宋简体" w:cs="Times New Roman"/>
      <w:bCs/>
      <w:kern w:val="44"/>
      <w:sz w:val="44"/>
      <w:szCs w:val="44"/>
    </w:rPr>
  </w:style>
  <w:style w:type="paragraph" w:styleId="5">
    <w:name w:val="heading 2"/>
    <w:basedOn w:val="6"/>
    <w:next w:val="1"/>
    <w:semiHidden/>
    <w:unhideWhenUsed/>
    <w:qFormat/>
    <w:uiPriority w:val="0"/>
    <w:pPr>
      <w:keepNext/>
      <w:keepLines/>
      <w:adjustRightInd w:val="0"/>
      <w:snapToGrid w:val="0"/>
      <w:spacing w:beforeLines="0" w:beforeAutospacing="0" w:afterLines="0" w:afterAutospacing="0" w:line="600" w:lineRule="exact"/>
      <w:outlineLvl w:val="1"/>
    </w:pPr>
    <w:rPr>
      <w:rFonts w:ascii="Arial" w:hAnsi="Arial" w:eastAsia="华文仿宋"/>
      <w:sz w:val="32"/>
      <w:szCs w:val="22"/>
    </w:rPr>
  </w:style>
  <w:style w:type="paragraph" w:styleId="8">
    <w:name w:val="heading 3"/>
    <w:basedOn w:val="9"/>
    <w:next w:val="1"/>
    <w:semiHidden/>
    <w:unhideWhenUsed/>
    <w:qFormat/>
    <w:uiPriority w:val="0"/>
    <w:pPr>
      <w:keepNext/>
      <w:keepLines/>
      <w:tabs>
        <w:tab w:val="left" w:pos="0"/>
      </w:tabs>
      <w:spacing w:before="2" w:beforeLines="0" w:beforeAutospacing="0" w:afterLines="0" w:afterAutospacing="0" w:line="600" w:lineRule="exact"/>
      <w:outlineLvl w:val="2"/>
    </w:pPr>
    <w:rPr>
      <w:rFonts w:ascii="Times New Roman" w:hAnsi="Times New Roman" w:eastAsia="楷体_GB2312"/>
      <w:b/>
    </w:rPr>
  </w:style>
  <w:style w:type="paragraph" w:styleId="11">
    <w:name w:val="heading 4"/>
    <w:basedOn w:val="1"/>
    <w:next w:val="1"/>
    <w:semiHidden/>
    <w:unhideWhenUsed/>
    <w:qFormat/>
    <w:uiPriority w:val="0"/>
    <w:pPr>
      <w:keepNext/>
      <w:keepLines/>
      <w:adjustRightInd w:val="0"/>
      <w:snapToGrid w:val="0"/>
      <w:spacing w:beforeLines="0" w:beforeAutospacing="0" w:afterLines="0" w:afterAutospacing="0" w:line="600" w:lineRule="exact"/>
      <w:outlineLvl w:val="3"/>
    </w:pPr>
    <w:rPr>
      <w:rFonts w:ascii="Times New Roman" w:hAnsi="Times New Roman" w:eastAsia="仿宋_GB2312" w:cs="Times New Roman"/>
      <w:sz w:val="32"/>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uiPriority w:val="0"/>
    <w:pPr>
      <w:spacing w:after="120" w:afterLines="0" w:afterAutospacing="0"/>
      <w:ind w:left="420" w:leftChars="200"/>
    </w:pPr>
  </w:style>
  <w:style w:type="paragraph" w:styleId="6">
    <w:name w:val="index heading"/>
    <w:basedOn w:val="1"/>
    <w:next w:val="7"/>
    <w:uiPriority w:val="0"/>
    <w:rPr>
      <w:rFonts w:ascii="Arial" w:hAnsi="Arial"/>
      <w:b/>
    </w:rPr>
  </w:style>
  <w:style w:type="paragraph" w:styleId="7">
    <w:name w:val="index 1"/>
    <w:basedOn w:val="1"/>
    <w:next w:val="1"/>
    <w:qFormat/>
    <w:uiPriority w:val="0"/>
  </w:style>
  <w:style w:type="paragraph" w:customStyle="1" w:styleId="9">
    <w:name w:val="一级标题"/>
    <w:basedOn w:val="10"/>
    <w:link w:val="15"/>
    <w:uiPriority w:val="0"/>
    <w:pPr>
      <w:tabs>
        <w:tab w:val="left" w:pos="0"/>
      </w:tabs>
      <w:spacing w:line="600" w:lineRule="exact"/>
      <w:ind w:firstLine="640"/>
      <w:jc w:val="left"/>
    </w:pPr>
    <w:rPr>
      <w:rFonts w:hint="eastAsia" w:ascii="黑体" w:hAnsi="黑体" w:eastAsia="黑体" w:cs="黑体"/>
      <w:sz w:val="32"/>
      <w:szCs w:val="32"/>
    </w:rPr>
  </w:style>
  <w:style w:type="paragraph" w:styleId="10">
    <w:name w:val="toa heading"/>
    <w:basedOn w:val="1"/>
    <w:next w:val="1"/>
    <w:uiPriority w:val="0"/>
    <w:pPr>
      <w:spacing w:before="120" w:beforeLines="0" w:beforeAutospacing="0"/>
    </w:pPr>
    <w:rPr>
      <w:rFonts w:ascii="Arial" w:hAnsi="Arial"/>
      <w:sz w:val="24"/>
    </w:rPr>
  </w:style>
  <w:style w:type="paragraph" w:styleId="12">
    <w:name w:val="Body Text"/>
    <w:basedOn w:val="1"/>
    <w:uiPriority w:val="0"/>
    <w:pPr>
      <w:spacing w:after="120" w:afterLines="0" w:afterAutospacing="0"/>
    </w:pPr>
  </w:style>
  <w:style w:type="character" w:customStyle="1" w:styleId="15">
    <w:name w:val="一级标题 Char"/>
    <w:link w:val="9"/>
    <w:qFormat/>
    <w:uiPriority w:val="0"/>
    <w:rPr>
      <w:rFonts w:hint="eastAsia" w:ascii="黑体" w:hAnsi="黑体" w:eastAsia="黑体" w:cs="黑体"/>
      <w:sz w:val="32"/>
      <w:szCs w:val="32"/>
    </w:rPr>
  </w:style>
  <w:style w:type="paragraph" w:customStyle="1" w:styleId="16">
    <w:name w:val="表标题"/>
    <w:basedOn w:val="1"/>
    <w:next w:val="12"/>
    <w:uiPriority w:val="0"/>
    <w:pPr>
      <w:spacing w:line="240" w:lineRule="auto"/>
      <w:jc w:val="center"/>
    </w:pPr>
    <w:rPr>
      <w:rFonts w:hint="eastAsia" w:ascii="楷体_GB2312" w:hAnsi="楷体_GB2312" w:eastAsia="楷体_GB2312" w:cs="楷体_GB2312"/>
      <w:b/>
      <w:bCs/>
      <w:sz w:val="24"/>
      <w:szCs w:val="24"/>
      <w:u w:val="none" w:color="auto"/>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2023-01-06T09:27:00Z</dcterms:created>
  <dc:creator>~阳光D海岸~</dc:creator>
  <cp:lastModifiedBy>~阳光D海岸~</cp:lastModifiedBy>
  <dcterms:modified xsi:type="dcterms:W3CDTF">2023-01-06T09:28:12Z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07AD3E5699AC46C18B0514317F2AEFF4</vt:lpwstr>
  </property>
</Properties>
</file>