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60" w:lineRule="exact"/>
        <w:jc w:val="left"/>
        <w:rPr>
          <w:rFonts w:ascii="Times New Roman" w:hAnsi="Times New Roman" w:eastAsia="黑体"/>
          <w:sz w:val="32"/>
          <w:szCs w:val="32"/>
        </w:rPr>
      </w:pPr>
      <w:bookmarkStart w:id="0" w:name="_Toc21527"/>
      <w:r>
        <w:rPr>
          <w:rFonts w:ascii="Times New Roman" w:hAnsi="Times New Roman" w:eastAsia="黑体"/>
          <w:sz w:val="32"/>
          <w:szCs w:val="32"/>
        </w:rPr>
        <w:t>明查表</w:t>
      </w:r>
      <w:bookmarkEnd w:id="0"/>
      <w:r>
        <w:rPr>
          <w:rFonts w:ascii="Times New Roman" w:hAnsi="Times New Roman" w:eastAsia="黑体"/>
          <w:sz w:val="32"/>
          <w:szCs w:val="32"/>
        </w:rPr>
        <w:t>1</w:t>
      </w:r>
    </w:p>
    <w:p>
      <w:pPr>
        <w:jc w:val="center"/>
        <w:rPr>
          <w:rFonts w:hint="eastAsia" w:ascii="方正小标宋简体" w:hAnsi="方正小标宋简体" w:eastAsia="方正小标宋简体" w:cs="方正小标宋简体"/>
          <w:color w:val="auto"/>
          <w:sz w:val="36"/>
          <w:szCs w:val="36"/>
          <w:lang w:val="en-US" w:eastAsia="zh-CN"/>
        </w:rPr>
      </w:pPr>
      <w:bookmarkStart w:id="1" w:name="_GoBack"/>
      <w:r>
        <w:rPr>
          <w:rFonts w:hint="eastAsia" w:ascii="方正小标宋简体" w:hAnsi="方正小标宋简体" w:eastAsia="方正小标宋简体" w:cs="方正小标宋简体"/>
          <w:color w:val="auto"/>
          <w:sz w:val="36"/>
          <w:szCs w:val="36"/>
        </w:rPr>
        <w:t>规模以上食品生产企业</w:t>
      </w:r>
      <w:r>
        <w:rPr>
          <w:rFonts w:hint="eastAsia" w:ascii="方正小标宋简体" w:hAnsi="方正小标宋简体" w:eastAsia="方正小标宋简体" w:cs="方正小标宋简体"/>
          <w:color w:val="auto"/>
          <w:sz w:val="36"/>
          <w:szCs w:val="36"/>
          <w:lang w:val="en-US" w:eastAsia="zh-CN"/>
        </w:rPr>
        <w:t>明查打分表</w:t>
      </w:r>
    </w:p>
    <w:bookmarkEnd w:id="1"/>
    <w:p>
      <w:pPr>
        <w:ind w:firstLine="240" w:firstLineChars="100"/>
        <w:rPr>
          <w:rFonts w:hint="default"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 xml:space="preserve">                                             </w:t>
      </w:r>
    </w:p>
    <w:p>
      <w:pPr>
        <w:ind w:firstLine="240" w:firstLineChars="100"/>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业态类型：规模以上食品生产企业              单位名称（与许可一致）：                      所属街道：</w:t>
      </w:r>
    </w:p>
    <w:tbl>
      <w:tblPr>
        <w:tblStyle w:val="13"/>
        <w:tblW w:w="13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700"/>
        <w:gridCol w:w="2267"/>
        <w:gridCol w:w="1134"/>
        <w:gridCol w:w="8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tblHeader/>
          <w:jc w:val="center"/>
        </w:trPr>
        <w:tc>
          <w:tcPr>
            <w:tcW w:w="1700" w:type="dxa"/>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24"/>
                <w:szCs w:val="24"/>
                <w:u w:val="none"/>
              </w:rPr>
            </w:pPr>
            <w:r>
              <w:rPr>
                <w:rFonts w:hint="default" w:ascii="Times New Roman" w:hAnsi="Times New Roman" w:eastAsia="黑体" w:cs="Times New Roman"/>
                <w:i w:val="0"/>
                <w:iCs w:val="0"/>
                <w:color w:val="000000"/>
                <w:kern w:val="0"/>
                <w:sz w:val="24"/>
                <w:szCs w:val="24"/>
                <w:u w:val="none"/>
                <w:lang w:val="en-US" w:eastAsia="zh-CN" w:bidi="ar"/>
              </w:rPr>
              <w:t>评价要点</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24"/>
                <w:szCs w:val="24"/>
                <w:u w:val="none"/>
              </w:rPr>
            </w:pPr>
            <w:r>
              <w:rPr>
                <w:rFonts w:hint="default" w:ascii="Times New Roman" w:hAnsi="Times New Roman" w:eastAsia="黑体" w:cs="Times New Roman"/>
                <w:i w:val="0"/>
                <w:iCs w:val="0"/>
                <w:color w:val="000000"/>
                <w:kern w:val="0"/>
                <w:sz w:val="24"/>
                <w:szCs w:val="24"/>
                <w:u w:val="none"/>
                <w:lang w:val="en-US" w:eastAsia="zh-CN" w:bidi="ar"/>
              </w:rPr>
              <w:t>辽宁省评价标准</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24"/>
                <w:szCs w:val="24"/>
                <w:u w:val="none"/>
              </w:rPr>
            </w:pPr>
            <w:r>
              <w:rPr>
                <w:rFonts w:hint="default" w:ascii="Times New Roman" w:hAnsi="Times New Roman" w:eastAsia="黑体" w:cs="Times New Roman"/>
                <w:i w:val="0"/>
                <w:iCs w:val="0"/>
                <w:color w:val="000000"/>
                <w:kern w:val="0"/>
                <w:sz w:val="24"/>
                <w:szCs w:val="24"/>
                <w:u w:val="none"/>
                <w:lang w:val="en-US" w:eastAsia="zh-CN" w:bidi="ar"/>
              </w:rPr>
              <w:t>序号</w:t>
            </w:r>
          </w:p>
        </w:tc>
        <w:tc>
          <w:tcPr>
            <w:tcW w:w="8499" w:type="dxa"/>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24"/>
                <w:szCs w:val="24"/>
                <w:u w:val="none"/>
              </w:rPr>
            </w:pPr>
            <w:r>
              <w:rPr>
                <w:rFonts w:hint="default" w:ascii="Times New Roman" w:hAnsi="Times New Roman" w:eastAsia="黑体" w:cs="Times New Roman"/>
                <w:i w:val="0"/>
                <w:iCs w:val="0"/>
                <w:color w:val="000000"/>
                <w:kern w:val="0"/>
                <w:sz w:val="24"/>
                <w:szCs w:val="24"/>
                <w:u w:val="none"/>
                <w:lang w:val="en-US" w:eastAsia="zh-CN" w:bidi="ar"/>
              </w:rPr>
              <w:t>检查要点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r>
              <w:rPr>
                <w:rFonts w:hint="default" w:ascii="Times New Roman" w:hAnsi="Times New Roman" w:eastAsia="仿宋_GB2312" w:cs="Times New Roman"/>
                <w:i w:val="0"/>
                <w:iCs w:val="0"/>
                <w:color w:val="000000"/>
                <w:kern w:val="0"/>
                <w:sz w:val="24"/>
                <w:szCs w:val="24"/>
                <w:u w:val="none"/>
                <w:lang w:val="en-US" w:eastAsia="zh-CN" w:bidi="ar"/>
              </w:rPr>
              <w:t>过程监督</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eastAsia" w:ascii="Times New Roman" w:hAnsi="Times New Roman" w:cs="Times New Roman"/>
                <w:i w:val="0"/>
                <w:iCs w:val="0"/>
                <w:color w:val="000000"/>
                <w:kern w:val="0"/>
                <w:sz w:val="24"/>
                <w:szCs w:val="24"/>
                <w:u w:val="none"/>
                <w:lang w:val="en-US" w:eastAsia="zh-CN" w:bidi="ar"/>
              </w:rPr>
              <w:t>20</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现场未公示风险等级，扣</w:t>
            </w:r>
            <w:r>
              <w:rPr>
                <w:rFonts w:hint="default" w:ascii="Times New Roman" w:hAnsi="Times New Roman" w:eastAsia="宋体" w:cs="Times New Roman"/>
                <w:i w:val="0"/>
                <w:iCs w:val="0"/>
                <w:color w:val="000000"/>
                <w:kern w:val="0"/>
                <w:sz w:val="24"/>
                <w:szCs w:val="24"/>
                <w:u w:val="none"/>
                <w:lang w:val="en-US" w:eastAsia="zh-CN" w:bidi="ar"/>
              </w:rPr>
              <w:t>0.1</w:t>
            </w:r>
            <w:r>
              <w:rPr>
                <w:rFonts w:hint="default" w:ascii="Times New Roman" w:hAnsi="Times New Roman" w:eastAsia="仿宋_GB2312" w:cs="Times New Roman"/>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eastAsia" w:ascii="Times New Roman" w:hAnsi="Times New Roman" w:cs="Times New Roman"/>
                <w:i w:val="0"/>
                <w:iCs w:val="0"/>
                <w:color w:val="000000"/>
                <w:kern w:val="0"/>
                <w:sz w:val="24"/>
                <w:szCs w:val="24"/>
                <w:u w:val="none"/>
                <w:lang w:val="en-US" w:eastAsia="zh-CN" w:bidi="ar"/>
              </w:rPr>
              <w:t>20</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现场未公示《日常监督检查结果记录表》扣</w:t>
            </w:r>
            <w:r>
              <w:rPr>
                <w:rFonts w:hint="default" w:ascii="Times New Roman" w:hAnsi="Times New Roman" w:eastAsia="宋体" w:cs="Times New Roman"/>
                <w:i w:val="0"/>
                <w:iCs w:val="0"/>
                <w:color w:val="000000"/>
                <w:kern w:val="0"/>
                <w:sz w:val="24"/>
                <w:szCs w:val="24"/>
                <w:u w:val="none"/>
                <w:lang w:val="en-US" w:eastAsia="zh-CN" w:bidi="ar"/>
              </w:rPr>
              <w:t>0.1</w:t>
            </w:r>
            <w:r>
              <w:rPr>
                <w:rFonts w:hint="default" w:ascii="Times New Roman" w:hAnsi="Times New Roman" w:eastAsia="仿宋_GB2312" w:cs="Times New Roman"/>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eastAsia" w:ascii="Times New Roman" w:hAnsi="Times New Roman" w:cs="Times New Roman"/>
                <w:i w:val="0"/>
                <w:iCs w:val="0"/>
                <w:color w:val="000000"/>
                <w:kern w:val="0"/>
                <w:sz w:val="24"/>
                <w:szCs w:val="24"/>
                <w:u w:val="none"/>
                <w:lang w:val="en-US" w:eastAsia="zh-CN" w:bidi="ar"/>
              </w:rPr>
              <w:t>20</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根据风险分级对比最近一次监督检查记录核实监督检查频次，满足频次要求或动态管理的，扣</w:t>
            </w:r>
            <w:r>
              <w:rPr>
                <w:rFonts w:hint="default" w:ascii="Times New Roman" w:hAnsi="Times New Roman" w:eastAsia="宋体" w:cs="Times New Roman"/>
                <w:i w:val="0"/>
                <w:iCs w:val="0"/>
                <w:color w:val="000000"/>
                <w:kern w:val="0"/>
                <w:sz w:val="24"/>
                <w:szCs w:val="24"/>
                <w:u w:val="none"/>
                <w:lang w:val="en-US" w:eastAsia="zh-CN" w:bidi="ar"/>
              </w:rPr>
              <w:t>0.1</w:t>
            </w:r>
            <w:r>
              <w:rPr>
                <w:rFonts w:hint="default" w:ascii="Times New Roman" w:hAnsi="Times New Roman" w:eastAsia="仿宋_GB2312" w:cs="Times New Roman"/>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Times New Roman" w:hAnsi="Times New Roman" w:cs="Times New Roman"/>
                <w:i w:val="0"/>
                <w:iCs w:val="0"/>
                <w:color w:val="000000"/>
                <w:kern w:val="0"/>
                <w:sz w:val="24"/>
                <w:szCs w:val="24"/>
                <w:u w:val="none"/>
                <w:lang w:val="en-US" w:eastAsia="zh-CN" w:bidi="ar"/>
              </w:rPr>
              <w:t>1</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乳制品、肉制品、白酒、食用植物油等大型食品生产企业，每年至少1次食品安全自查</w:t>
            </w:r>
            <w:r>
              <w:rPr>
                <w:rFonts w:hint="eastAsia"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现场未提供自查报告，扣0.5分。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r>
              <w:rPr>
                <w:rFonts w:hint="default" w:ascii="Times New Roman" w:hAnsi="Times New Roman" w:eastAsia="仿宋_GB2312" w:cs="Times New Roman"/>
                <w:i w:val="0"/>
                <w:iCs w:val="0"/>
                <w:color w:val="000000"/>
                <w:kern w:val="0"/>
                <w:sz w:val="24"/>
                <w:szCs w:val="24"/>
                <w:u w:val="none"/>
                <w:lang w:val="en-US" w:eastAsia="zh-CN" w:bidi="ar"/>
              </w:rPr>
              <w:t>集中整治</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34</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现场发现非法添加行为，扣</w:t>
            </w:r>
            <w:r>
              <w:rPr>
                <w:rFonts w:hint="default" w:ascii="Times New Roman" w:hAnsi="Times New Roman" w:eastAsia="宋体" w:cs="Times New Roman"/>
                <w:i w:val="0"/>
                <w:iCs w:val="0"/>
                <w:color w:val="000000"/>
                <w:kern w:val="0"/>
                <w:sz w:val="24"/>
                <w:szCs w:val="24"/>
                <w:u w:val="none"/>
                <w:lang w:val="en-US" w:eastAsia="zh-CN" w:bidi="ar"/>
              </w:rPr>
              <w:t>0.5</w:t>
            </w:r>
            <w:r>
              <w:rPr>
                <w:rFonts w:hint="default" w:ascii="Times New Roman" w:hAnsi="Times New Roman" w:eastAsia="仿宋_GB2312" w:cs="Times New Roman"/>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r>
              <w:rPr>
                <w:rFonts w:hint="default" w:ascii="Times New Roman" w:hAnsi="Times New Roman" w:eastAsia="仿宋_GB2312" w:cs="Times New Roman"/>
                <w:i w:val="0"/>
                <w:iCs w:val="0"/>
                <w:color w:val="000000"/>
                <w:kern w:val="0"/>
                <w:sz w:val="24"/>
                <w:szCs w:val="24"/>
                <w:u w:val="none"/>
                <w:lang w:val="en-US" w:eastAsia="zh-CN" w:bidi="ar"/>
              </w:rPr>
              <w:t>社会共治</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37</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未开展食品安全宣传教育，扣0.1分。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r>
              <w:rPr>
                <w:rFonts w:hint="default" w:ascii="Times New Roman" w:hAnsi="Times New Roman" w:eastAsia="仿宋_GB2312" w:cs="Times New Roman"/>
                <w:i w:val="0"/>
                <w:iCs w:val="0"/>
                <w:color w:val="000000"/>
                <w:kern w:val="0"/>
                <w:sz w:val="24"/>
                <w:szCs w:val="24"/>
                <w:u w:val="none"/>
                <w:lang w:val="en-US" w:eastAsia="zh-CN" w:bidi="ar"/>
              </w:rPr>
              <w:t>管理制度</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1</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未健全食品安全管理制度的，扣0.1分。</w:t>
            </w:r>
            <w:r>
              <w:rPr>
                <w:rFonts w:hint="default" w:ascii="Times New Roman" w:hAnsi="Times New Roman" w:eastAsia="仿宋_GB2312" w:cs="Times New Roman"/>
                <w:i w:val="0"/>
                <w:iCs w:val="0"/>
                <w:color w:val="000000"/>
                <w:kern w:val="0"/>
                <w:sz w:val="24"/>
                <w:szCs w:val="24"/>
                <w:u w:val="none"/>
                <w:lang w:val="en-US" w:eastAsia="zh-CN" w:bidi="ar"/>
              </w:rPr>
              <w:br w:type="textWrapping"/>
            </w:r>
            <w:r>
              <w:rPr>
                <w:rFonts w:hint="default" w:ascii="Times New Roman" w:hAnsi="Times New Roman" w:eastAsia="仿宋_GB2312" w:cs="Times New Roman"/>
                <w:i w:val="0"/>
                <w:iCs w:val="0"/>
                <w:color w:val="000000"/>
                <w:kern w:val="0"/>
                <w:sz w:val="24"/>
                <w:szCs w:val="24"/>
                <w:u w:val="none"/>
                <w:lang w:val="en-US" w:eastAsia="zh-CN" w:bidi="ar"/>
              </w:rPr>
              <w:t>企业至少有</w:t>
            </w:r>
            <w:r>
              <w:rPr>
                <w:rFonts w:hint="eastAsia" w:ascii="Times New Roman" w:hAnsi="Times New Roman" w:eastAsia="仿宋_GB2312" w:cs="Times New Roman"/>
                <w:i w:val="0"/>
                <w:iCs w:val="0"/>
                <w:color w:val="000000"/>
                <w:kern w:val="0"/>
                <w:sz w:val="24"/>
                <w:szCs w:val="24"/>
                <w:u w:val="none"/>
                <w:lang w:val="en-US" w:eastAsia="zh-CN" w:bidi="ar"/>
              </w:rPr>
              <w:t>8</w:t>
            </w:r>
            <w:r>
              <w:rPr>
                <w:rFonts w:hint="default" w:ascii="Times New Roman" w:hAnsi="Times New Roman" w:eastAsia="仿宋_GB2312" w:cs="Times New Roman"/>
                <w:i w:val="0"/>
                <w:iCs w:val="0"/>
                <w:color w:val="000000"/>
                <w:kern w:val="0"/>
                <w:sz w:val="24"/>
                <w:szCs w:val="24"/>
                <w:u w:val="none"/>
                <w:lang w:val="en-US" w:eastAsia="zh-CN" w:bidi="ar"/>
              </w:rPr>
              <w:t>项食品安全管理制度：从业人员健康管理制度、⑵进货查验记录制度、⑶生产过程控制制度、⑷出厂检验记录制度、⑸不安全食品召回制度、⑹食品安全自查制度、⑺食品安全事故处置方案</w:t>
            </w:r>
            <w:r>
              <w:rPr>
                <w:rFonts w:hint="eastAsia"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⑻</w:t>
            </w:r>
            <w:r>
              <w:rPr>
                <w:rFonts w:hint="eastAsia" w:ascii="Times New Roman" w:hAnsi="Times New Roman" w:eastAsia="仿宋_GB2312" w:cs="Times New Roman"/>
                <w:i w:val="0"/>
                <w:iCs w:val="0"/>
                <w:color w:val="000000"/>
                <w:kern w:val="0"/>
                <w:sz w:val="24"/>
                <w:szCs w:val="24"/>
                <w:u w:val="none"/>
                <w:lang w:val="en-US" w:eastAsia="zh-CN" w:bidi="ar"/>
              </w:rPr>
              <w:t>日管控、周排查、月调度工作制度</w:t>
            </w:r>
            <w:r>
              <w:rPr>
                <w:rFonts w:hint="default" w:ascii="Times New Roman" w:hAnsi="Times New Roman" w:eastAsia="仿宋_GB2312" w:cs="Times New Roman"/>
                <w:i w:val="0"/>
                <w:iCs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1</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8499" w:type="dxa"/>
            <w:shd w:val="clear" w:color="auto" w:fill="auto"/>
            <w:vAlign w:val="center"/>
          </w:tcPr>
          <w:p>
            <w:pPr>
              <w:widowControl/>
              <w:textAlignment w:val="center"/>
              <w:rPr>
                <w:rFonts w:hint="default"/>
                <w:lang w:val="en-US"/>
              </w:rPr>
            </w:pPr>
            <w:r>
              <w:rPr>
                <w:rFonts w:hint="eastAsia" w:ascii="Times New Roman" w:hAnsi="Times New Roman" w:eastAsia="仿宋_GB2312" w:cs="Times New Roman"/>
                <w:i w:val="0"/>
                <w:iCs w:val="0"/>
                <w:color w:val="000000"/>
                <w:kern w:val="0"/>
                <w:sz w:val="24"/>
                <w:szCs w:val="24"/>
                <w:u w:val="none"/>
                <w:lang w:val="en-US" w:eastAsia="zh-CN" w:bidi="ar"/>
              </w:rPr>
              <w:t>现场未提供《食品安全总监职责》《食品安全员守则》文件，扣0.1分。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1</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现场未提供</w:t>
            </w:r>
            <w:r>
              <w:rPr>
                <w:rFonts w:hint="eastAsia" w:ascii="Times New Roman" w:hAnsi="Times New Roman" w:eastAsia="仿宋_GB2312" w:cs="Times New Roman"/>
                <w:i w:val="0"/>
                <w:iCs w:val="0"/>
                <w:color w:val="000000"/>
                <w:kern w:val="0"/>
                <w:sz w:val="24"/>
                <w:szCs w:val="24"/>
                <w:u w:val="none"/>
                <w:lang w:val="en-US" w:eastAsia="zh-CN" w:bidi="ar"/>
              </w:rPr>
              <w:t>近两年</w:t>
            </w:r>
            <w:r>
              <w:rPr>
                <w:rFonts w:hint="default" w:ascii="Times New Roman" w:hAnsi="Times New Roman" w:eastAsia="仿宋_GB2312" w:cs="Times New Roman"/>
                <w:i w:val="0"/>
                <w:iCs w:val="0"/>
                <w:color w:val="000000"/>
                <w:kern w:val="0"/>
                <w:sz w:val="24"/>
                <w:szCs w:val="24"/>
                <w:u w:val="none"/>
                <w:lang w:val="en-US" w:eastAsia="zh-CN" w:bidi="ar"/>
              </w:rPr>
              <w:t>加大食品质量安全管理投入的证明材料，扣0.1分。</w:t>
            </w:r>
            <w:r>
              <w:rPr>
                <w:rFonts w:hint="default" w:ascii="Times New Roman" w:hAnsi="Times New Roman" w:eastAsia="仿宋_GB2312" w:cs="Times New Roman"/>
                <w:i w:val="0"/>
                <w:iCs w:val="0"/>
                <w:color w:val="000000"/>
                <w:kern w:val="0"/>
                <w:sz w:val="24"/>
                <w:szCs w:val="24"/>
                <w:u w:val="none"/>
                <w:lang w:val="en-US" w:eastAsia="zh-CN" w:bidi="ar"/>
              </w:rPr>
              <w:br w:type="textWrapping"/>
            </w:r>
            <w:r>
              <w:rPr>
                <w:rFonts w:hint="default" w:ascii="Times New Roman" w:hAnsi="Times New Roman" w:eastAsia="仿宋_GB2312" w:cs="Times New Roman"/>
                <w:i w:val="0"/>
                <w:iCs w:val="0"/>
                <w:color w:val="000000"/>
                <w:kern w:val="0"/>
                <w:sz w:val="24"/>
                <w:szCs w:val="24"/>
                <w:u w:val="none"/>
                <w:lang w:val="en-US" w:eastAsia="zh-CN" w:bidi="ar"/>
              </w:rPr>
              <w:t>体现加大投入的方式：包括但不限于用于改进食品安全风险管控的设备设施、追溯体系信息化建设、食品安全管理人员培训、实验室建设的相关证明等（能体现以上任有其一即可）。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2</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lang w:val="en-US" w:eastAsia="zh-CN"/>
              </w:rPr>
            </w:pPr>
            <w:r>
              <w:rPr>
                <w:rFonts w:hint="eastAsia" w:ascii="Times New Roman" w:hAnsi="Times New Roman" w:eastAsia="宋体" w:cs="Times New Roman"/>
                <w:i w:val="0"/>
                <w:iCs w:val="0"/>
                <w:color w:val="000000"/>
                <w:sz w:val="24"/>
                <w:szCs w:val="24"/>
                <w:u w:val="none"/>
                <w:lang w:val="en-US" w:eastAsia="zh-CN"/>
              </w:rPr>
              <w:t>10</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未明确主要负责人</w:t>
            </w:r>
            <w:r>
              <w:rPr>
                <w:rFonts w:hint="eastAsia"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未明确配备食品安全总监、食品安全员等人员的设立及调整情况的，扣0.1分。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2</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11</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现场未提供定期对从业人员及食品安全管理人员开展培训考核证明材料的，扣0.1分。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2</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现场随机抽查食品安全总监和食品安全员“食安员抽考”APP抽考记录，未合格的，扣0.1分。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r>
              <w:rPr>
                <w:rFonts w:hint="default" w:ascii="Times New Roman" w:hAnsi="Times New Roman" w:eastAsia="仿宋_GB2312" w:cs="Times New Roman"/>
                <w:i w:val="0"/>
                <w:iCs w:val="0"/>
                <w:color w:val="000000"/>
                <w:kern w:val="0"/>
                <w:sz w:val="24"/>
                <w:szCs w:val="24"/>
                <w:u w:val="none"/>
                <w:lang w:val="en-US" w:eastAsia="zh-CN" w:bidi="ar"/>
              </w:rPr>
              <w:t>过程控制</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4</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13</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未按照自查制度的频次对食品安全责任落实情况、食品安全状况进行自评自查的，扣0.1分。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4</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14</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食品安全自查报告发现问题的，未在规定期限内完成整改，扣0.1分。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4</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最近一次监督检查记录中记载发现问题的，未在规定期限内完成整改，扣0.1分。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4</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从事接触直接入口食品工作的人员未取得健康证明，扣</w:t>
            </w:r>
            <w:r>
              <w:rPr>
                <w:rFonts w:hint="default" w:ascii="Times New Roman" w:hAnsi="Times New Roman" w:eastAsia="宋体" w:cs="Times New Roman"/>
                <w:i w:val="0"/>
                <w:iCs w:val="0"/>
                <w:color w:val="000000"/>
                <w:kern w:val="0"/>
                <w:sz w:val="24"/>
                <w:szCs w:val="24"/>
                <w:u w:val="none"/>
                <w:lang w:val="en-US" w:eastAsia="zh-CN" w:bidi="ar"/>
              </w:rPr>
              <w:t>0.1</w:t>
            </w:r>
            <w:r>
              <w:rPr>
                <w:rFonts w:hint="default" w:ascii="Times New Roman" w:hAnsi="Times New Roman" w:eastAsia="仿宋_GB2312" w:cs="Times New Roman"/>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4</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17</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生产加工经营过程不符合相应生产工艺和操作规范，扣0.1分。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4</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18</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加工场所内环境（包括地面、排水沟、墙面、顶棚、门窗等）未保持清洁，扣</w:t>
            </w:r>
            <w:r>
              <w:rPr>
                <w:rFonts w:hint="default" w:ascii="Times New Roman" w:hAnsi="Times New Roman" w:eastAsia="宋体" w:cs="Times New Roman"/>
                <w:i w:val="0"/>
                <w:iCs w:val="0"/>
                <w:color w:val="000000"/>
                <w:kern w:val="0"/>
                <w:sz w:val="24"/>
                <w:szCs w:val="24"/>
                <w:u w:val="none"/>
                <w:lang w:val="en-US" w:eastAsia="zh-CN" w:bidi="ar"/>
              </w:rPr>
              <w:t>0.1</w:t>
            </w:r>
            <w:r>
              <w:rPr>
                <w:rFonts w:hint="default" w:ascii="Times New Roman" w:hAnsi="Times New Roman" w:eastAsia="仿宋_GB2312" w:cs="Times New Roman"/>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4</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19</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车间入口处及车间内必要处未设置更衣室，扣</w:t>
            </w:r>
            <w:r>
              <w:rPr>
                <w:rFonts w:hint="default" w:ascii="Times New Roman" w:hAnsi="Times New Roman" w:eastAsia="宋体" w:cs="Times New Roman"/>
                <w:i w:val="0"/>
                <w:iCs w:val="0"/>
                <w:color w:val="000000"/>
                <w:kern w:val="0"/>
                <w:sz w:val="24"/>
                <w:szCs w:val="24"/>
                <w:u w:val="none"/>
                <w:lang w:val="en-US" w:eastAsia="zh-CN" w:bidi="ar"/>
              </w:rPr>
              <w:t>0.1</w:t>
            </w:r>
            <w:r>
              <w:rPr>
                <w:rFonts w:hint="default" w:ascii="Times New Roman" w:hAnsi="Times New Roman" w:eastAsia="仿宋_GB2312" w:cs="Times New Roman"/>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4</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更衣设施不能与生产量或工作人员数量相匹配，扣0.1分。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4</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21</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水龙头、烘干设备无法正常使用，扣</w:t>
            </w:r>
            <w:r>
              <w:rPr>
                <w:rFonts w:hint="default" w:ascii="Times New Roman" w:hAnsi="Times New Roman" w:eastAsia="宋体" w:cs="Times New Roman"/>
                <w:i w:val="0"/>
                <w:iCs w:val="0"/>
                <w:color w:val="000000"/>
                <w:kern w:val="0"/>
                <w:sz w:val="24"/>
                <w:szCs w:val="24"/>
                <w:u w:val="none"/>
                <w:lang w:val="en-US" w:eastAsia="zh-CN" w:bidi="ar"/>
              </w:rPr>
              <w:t>0.1</w:t>
            </w:r>
            <w:r>
              <w:rPr>
                <w:rFonts w:hint="default" w:ascii="Times New Roman" w:hAnsi="Times New Roman" w:eastAsia="仿宋_GB2312" w:cs="Times New Roman"/>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4</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22</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4"/>
                <w:szCs w:val="24"/>
                <w:u w:val="none"/>
              </w:rPr>
            </w:pPr>
            <w:r>
              <w:rPr>
                <w:rFonts w:hint="eastAsia" w:ascii="Times New Roman" w:hAnsi="Times New Roman" w:eastAsia="仿宋_GB2312" w:cs="Times New Roman"/>
                <w:i w:val="0"/>
                <w:iCs w:val="0"/>
                <w:color w:val="000000"/>
                <w:kern w:val="0"/>
                <w:sz w:val="24"/>
                <w:szCs w:val="24"/>
                <w:u w:val="none"/>
                <w:lang w:val="en-US" w:eastAsia="zh-CN" w:bidi="ar"/>
              </w:rPr>
              <w:t>仓</w:t>
            </w:r>
            <w:r>
              <w:rPr>
                <w:rFonts w:hint="default" w:ascii="Times New Roman" w:hAnsi="Times New Roman" w:eastAsia="仿宋_GB2312" w:cs="Times New Roman"/>
                <w:i w:val="0"/>
                <w:iCs w:val="0"/>
                <w:color w:val="000000"/>
                <w:kern w:val="0"/>
                <w:sz w:val="24"/>
                <w:szCs w:val="24"/>
                <w:u w:val="none"/>
                <w:lang w:val="en-US" w:eastAsia="zh-CN" w:bidi="ar"/>
              </w:rPr>
              <w:t>库内原料、半成品、成品、包装材料未分设贮存场所、未分区码放，扣0.1分。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4</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23</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现场抽查1种食品原料、1种食品相关产品、1种食品添加剂，查看进货查验记录、索证索票，记录内容和票据不全的，扣0.1分。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4</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24</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未对抽查的品种，建立和保存贮存、保管记录和领用出库记录的，扣</w:t>
            </w:r>
            <w:r>
              <w:rPr>
                <w:rFonts w:hint="default" w:ascii="Times New Roman" w:hAnsi="Times New Roman" w:eastAsia="宋体" w:cs="Times New Roman"/>
                <w:i w:val="0"/>
                <w:iCs w:val="0"/>
                <w:color w:val="000000"/>
                <w:kern w:val="0"/>
                <w:sz w:val="24"/>
                <w:szCs w:val="24"/>
                <w:u w:val="none"/>
                <w:lang w:val="en-US" w:eastAsia="zh-CN" w:bidi="ar"/>
              </w:rPr>
              <w:t>0.1</w:t>
            </w:r>
            <w:r>
              <w:rPr>
                <w:rFonts w:hint="default" w:ascii="Times New Roman" w:hAnsi="Times New Roman" w:eastAsia="仿宋_GB2312" w:cs="Times New Roman"/>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4</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25</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随机抽查1-3批次成品检查，未按规定开展出厂检验，检验报告和原始检验记录数据不真实的，扣0.1分。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4</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26</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企业自查发现风险，未立即采取整改并按规定向所在地市场监督管理部门报告的，扣</w:t>
            </w:r>
            <w:r>
              <w:rPr>
                <w:rFonts w:hint="default" w:ascii="Times New Roman" w:hAnsi="Times New Roman" w:eastAsia="宋体" w:cs="Times New Roman"/>
                <w:i w:val="0"/>
                <w:iCs w:val="0"/>
                <w:color w:val="000000"/>
                <w:kern w:val="0"/>
                <w:sz w:val="24"/>
                <w:szCs w:val="24"/>
                <w:u w:val="none"/>
                <w:lang w:val="en-US" w:eastAsia="zh-CN" w:bidi="ar"/>
              </w:rPr>
              <w:t>0.1</w:t>
            </w:r>
            <w:r>
              <w:rPr>
                <w:rFonts w:hint="default" w:ascii="Times New Roman" w:hAnsi="Times New Roman" w:eastAsia="仿宋_GB2312" w:cs="Times New Roman"/>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4</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27</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对检查发现的问题，未查找原因或未严格落实整改措施，扣0.1分。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5</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28</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现场未提供体系认证证书</w:t>
            </w:r>
            <w:r>
              <w:rPr>
                <w:rFonts w:hint="eastAsia"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GMP</w:t>
            </w:r>
            <w:r>
              <w:rPr>
                <w:rFonts w:hint="default" w:ascii="Times New Roman" w:hAnsi="Times New Roman" w:eastAsia="仿宋_GB2312" w:cs="Times New Roman"/>
                <w:i w:val="0"/>
                <w:iCs w:val="0"/>
                <w:color w:val="000000"/>
                <w:kern w:val="0"/>
                <w:sz w:val="24"/>
                <w:szCs w:val="24"/>
                <w:u w:val="none"/>
                <w:lang w:val="en-US" w:eastAsia="zh-CN" w:bidi="ar"/>
              </w:rPr>
              <w:t>与</w:t>
            </w:r>
            <w:r>
              <w:rPr>
                <w:rFonts w:hint="default" w:ascii="Times New Roman" w:hAnsi="Times New Roman" w:eastAsia="宋体" w:cs="Times New Roman"/>
                <w:i w:val="0"/>
                <w:iCs w:val="0"/>
                <w:color w:val="000000"/>
                <w:kern w:val="0"/>
                <w:sz w:val="24"/>
                <w:szCs w:val="24"/>
                <w:u w:val="none"/>
                <w:lang w:val="en-US" w:eastAsia="zh-CN" w:bidi="ar"/>
              </w:rPr>
              <w:t>HACCP</w:t>
            </w:r>
            <w:r>
              <w:rPr>
                <w:rFonts w:hint="default" w:ascii="Times New Roman" w:hAnsi="Times New Roman" w:eastAsia="仿宋_GB2312" w:cs="Times New Roman"/>
                <w:i w:val="0"/>
                <w:iCs w:val="0"/>
                <w:color w:val="000000"/>
                <w:kern w:val="0"/>
                <w:sz w:val="24"/>
                <w:szCs w:val="24"/>
                <w:u w:val="none"/>
                <w:lang w:val="en-US" w:eastAsia="zh-CN" w:bidi="ar"/>
              </w:rPr>
              <w:t>或</w:t>
            </w:r>
            <w:r>
              <w:rPr>
                <w:rFonts w:hint="default" w:ascii="Times New Roman" w:hAnsi="Times New Roman" w:eastAsia="宋体" w:cs="Times New Roman"/>
                <w:i w:val="0"/>
                <w:iCs w:val="0"/>
                <w:color w:val="000000"/>
                <w:kern w:val="0"/>
                <w:sz w:val="24"/>
                <w:szCs w:val="24"/>
                <w:u w:val="none"/>
                <w:lang w:val="en-US" w:eastAsia="zh-CN" w:bidi="ar"/>
              </w:rPr>
              <w:t>ISO22000</w:t>
            </w:r>
            <w:r>
              <w:rPr>
                <w:rFonts w:hint="default" w:ascii="Times New Roman" w:hAnsi="Times New Roman" w:eastAsia="仿宋_GB2312" w:cs="Times New Roman"/>
                <w:i w:val="0"/>
                <w:iCs w:val="0"/>
                <w:color w:val="000000"/>
                <w:kern w:val="0"/>
                <w:sz w:val="24"/>
                <w:szCs w:val="24"/>
                <w:u w:val="none"/>
                <w:lang w:val="en-US" w:eastAsia="zh-CN" w:bidi="ar"/>
              </w:rPr>
              <w:t>）的，扣</w:t>
            </w:r>
            <w:r>
              <w:rPr>
                <w:rFonts w:hint="default" w:ascii="Times New Roman" w:hAnsi="Times New Roman" w:eastAsia="宋体" w:cs="Times New Roman"/>
                <w:i w:val="0"/>
                <w:iCs w:val="0"/>
                <w:color w:val="000000"/>
                <w:kern w:val="0"/>
                <w:sz w:val="24"/>
                <w:szCs w:val="24"/>
                <w:u w:val="none"/>
                <w:lang w:val="en-US" w:eastAsia="zh-CN" w:bidi="ar"/>
              </w:rPr>
              <w:t>0.1</w:t>
            </w:r>
            <w:r>
              <w:rPr>
                <w:rFonts w:hint="default" w:ascii="Times New Roman" w:hAnsi="Times New Roman" w:eastAsia="仿宋_GB2312" w:cs="Times New Roman"/>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w:t>
            </w:r>
            <w:r>
              <w:rPr>
                <w:rFonts w:hint="default" w:ascii="Times New Roman" w:hAnsi="Times New Roman" w:eastAsia="仿宋_GB2312" w:cs="Times New Roman"/>
                <w:i w:val="0"/>
                <w:iCs w:val="0"/>
                <w:color w:val="000000"/>
                <w:kern w:val="0"/>
                <w:sz w:val="24"/>
                <w:szCs w:val="24"/>
                <w:u w:val="none"/>
                <w:lang w:val="en-US" w:eastAsia="zh-CN" w:bidi="ar"/>
              </w:rPr>
              <w:t>产品追溯</w:t>
            </w:r>
          </w:p>
        </w:tc>
        <w:tc>
          <w:tcPr>
            <w:tcW w:w="2267"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67</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29</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现场未提供食品安全追溯体系或追溯制度的，扣</w:t>
            </w:r>
            <w:r>
              <w:rPr>
                <w:rFonts w:hint="default" w:ascii="Times New Roman" w:hAnsi="Times New Roman" w:eastAsia="宋体" w:cs="Times New Roman"/>
                <w:i w:val="0"/>
                <w:iCs w:val="0"/>
                <w:color w:val="000000"/>
                <w:kern w:val="0"/>
                <w:sz w:val="24"/>
                <w:szCs w:val="24"/>
                <w:u w:val="none"/>
                <w:lang w:val="en-US" w:eastAsia="zh-CN" w:bidi="ar"/>
              </w:rPr>
              <w:t>0.5</w:t>
            </w:r>
            <w:r>
              <w:rPr>
                <w:rFonts w:hint="default" w:ascii="Times New Roman" w:hAnsi="Times New Roman" w:eastAsia="仿宋_GB2312" w:cs="Times New Roman"/>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企业食品安全追溯体系不健全，无法确保记录真实完整，产品来源可查、去向可追的，扣0.</w:t>
            </w:r>
            <w:r>
              <w:rPr>
                <w:rFonts w:hint="eastAsia" w:ascii="Times New Roman" w:hAnsi="Times New Roman" w:eastAsia="仿宋_GB2312" w:cs="Times New Roman"/>
                <w:i w:val="0"/>
                <w:iCs w:val="0"/>
                <w:color w:val="000000"/>
                <w:kern w:val="0"/>
                <w:sz w:val="24"/>
                <w:szCs w:val="24"/>
                <w:u w:val="none"/>
                <w:lang w:val="en-US" w:eastAsia="zh-CN" w:bidi="ar"/>
              </w:rPr>
              <w:t>1</w:t>
            </w:r>
            <w:r>
              <w:rPr>
                <w:rFonts w:hint="default" w:ascii="Times New Roman" w:hAnsi="Times New Roman" w:eastAsia="仿宋_GB2312" w:cs="Times New Roman"/>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r>
              <w:rPr>
                <w:rFonts w:hint="default" w:ascii="Times New Roman" w:hAnsi="Times New Roman" w:eastAsia="仿宋_GB2312" w:cs="Times New Roman"/>
                <w:i w:val="0"/>
                <w:iCs w:val="0"/>
                <w:color w:val="000000"/>
                <w:kern w:val="0"/>
                <w:sz w:val="24"/>
                <w:szCs w:val="24"/>
                <w:u w:val="none"/>
                <w:lang w:val="en-US" w:eastAsia="zh-CN" w:bidi="ar"/>
              </w:rPr>
              <w:t>诚信文化</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69</w:t>
            </w:r>
            <w:r>
              <w:rPr>
                <w:rFonts w:hint="default" w:ascii="Times New Roman" w:hAnsi="Times New Roman" w:eastAsia="仿宋_GB2312" w:cs="Times New Roman"/>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31</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未提供开展诚信守法教育活动，无相关证明材料，扣0.1分。</w:t>
            </w:r>
          </w:p>
        </w:tc>
      </w:tr>
    </w:tbl>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重点检查属于有因检查类型，根据抽检情况、舆情反映、投诉举报等线索，对相关食品经营者开展的有针对性的监督检查。其中，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2.“（2</w:t>
      </w:r>
      <w:r>
        <w:rPr>
          <w:rFonts w:hint="eastAsia" w:ascii="Times New Roman" w:hAnsi="Times New Roman" w:eastAsia="楷体_GB2312"/>
          <w:sz w:val="28"/>
          <w:szCs w:val="28"/>
          <w:lang w:val="en-US" w:eastAsia="zh-CN"/>
        </w:rPr>
        <w:t>1</w:t>
      </w:r>
      <w:r>
        <w:rPr>
          <w:rFonts w:hint="eastAsia" w:ascii="Times New Roman" w:hAnsi="Times New Roman" w:eastAsia="楷体_GB2312"/>
          <w:sz w:val="28"/>
          <w:szCs w:val="28"/>
        </w:rPr>
        <w:t>）持续加大乳制品、肉制品、白酒、食用植物油等大型食品生产企业风险防控力度”的具体要求：（1）创建城市每年都要把乳制品、肉制品、白酒、食用植物油等大型食品生产企业作为重点，加强风险防控工作。（2）每年都要针对上述重点食品大型生产企业，组织制定并落实相应的监管计划，结合实际动态调整风险清单、措施清单和责任清单，切实防范系统性食品安全风险。</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3.“（5</w:t>
      </w:r>
      <w:r>
        <w:rPr>
          <w:rFonts w:hint="eastAsia" w:ascii="Times New Roman" w:hAnsi="Times New Roman" w:eastAsia="楷体_GB2312"/>
          <w:sz w:val="28"/>
          <w:szCs w:val="28"/>
          <w:lang w:val="en-US" w:eastAsia="zh-CN"/>
        </w:rPr>
        <w:t>1</w:t>
      </w:r>
      <w:r>
        <w:rPr>
          <w:rFonts w:hint="eastAsia" w:ascii="Times New Roman" w:hAnsi="Times New Roman" w:eastAsia="楷体_GB2312"/>
          <w:sz w:val="28"/>
          <w:szCs w:val="28"/>
        </w:rPr>
        <w:t>）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4.“（5</w:t>
      </w:r>
      <w:r>
        <w:rPr>
          <w:rFonts w:hint="eastAsia" w:ascii="Times New Roman" w:hAnsi="Times New Roman" w:eastAsia="楷体_GB2312"/>
          <w:sz w:val="28"/>
          <w:szCs w:val="28"/>
          <w:lang w:val="en-US" w:eastAsia="zh-CN"/>
        </w:rPr>
        <w:t>2</w:t>
      </w:r>
      <w:r>
        <w:rPr>
          <w:rFonts w:hint="eastAsia" w:ascii="Times New Roman" w:hAnsi="Times New Roman" w:eastAsia="楷体_GB2312"/>
          <w:sz w:val="28"/>
          <w:szCs w:val="28"/>
        </w:rPr>
        <w:t>）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5.“（5</w:t>
      </w:r>
      <w:r>
        <w:rPr>
          <w:rFonts w:hint="eastAsia" w:ascii="Times New Roman" w:hAnsi="Times New Roman" w:eastAsia="楷体_GB2312"/>
          <w:sz w:val="28"/>
          <w:szCs w:val="28"/>
          <w:lang w:val="en-US" w:eastAsia="zh-CN"/>
        </w:rPr>
        <w:t>4</w:t>
      </w:r>
      <w:r>
        <w:rPr>
          <w:rFonts w:hint="eastAsia" w:ascii="Times New Roman" w:hAnsi="Times New Roman" w:eastAsia="楷体_GB2312"/>
          <w:sz w:val="28"/>
          <w:szCs w:val="28"/>
        </w:rPr>
        <w:t>）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p>
    <w:p>
      <w:pPr>
        <w:spacing w:beforeLines="50" w:line="360" w:lineRule="exact"/>
        <w:jc w:val="left"/>
        <w:rPr>
          <w:rFonts w:ascii="Times New Roman" w:hAnsi="Times New Roman" w:eastAsia="黑体"/>
          <w:sz w:val="32"/>
          <w:szCs w:val="32"/>
        </w:rPr>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6D4C769A"/>
    <w:rsid w:val="081B5EF0"/>
    <w:rsid w:val="0AC85742"/>
    <w:rsid w:val="184473D8"/>
    <w:rsid w:val="1BB10A7E"/>
    <w:rsid w:val="1EF34102"/>
    <w:rsid w:val="2CB50578"/>
    <w:rsid w:val="2CDA6E30"/>
    <w:rsid w:val="33E552A9"/>
    <w:rsid w:val="35F029FD"/>
    <w:rsid w:val="43067708"/>
    <w:rsid w:val="4605452E"/>
    <w:rsid w:val="46E502D3"/>
    <w:rsid w:val="50BD5D72"/>
    <w:rsid w:val="67777244"/>
    <w:rsid w:val="689E5B40"/>
    <w:rsid w:val="69AB1B12"/>
    <w:rsid w:val="6AE23A6C"/>
    <w:rsid w:val="6BDB79E0"/>
    <w:rsid w:val="6D4C769A"/>
    <w:rsid w:val="6D796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tabs>
        <w:tab w:val="left" w:pos="0"/>
      </w:tabs>
      <w:adjustRightInd w:val="0"/>
      <w:snapToGrid w:val="0"/>
      <w:spacing w:line="240" w:lineRule="auto"/>
      <w:ind w:firstLine="0" w:firstLineChars="0"/>
      <w:jc w:val="center"/>
      <w:outlineLvl w:val="0"/>
    </w:pPr>
    <w:rPr>
      <w:rFonts w:ascii="Times New Roman" w:hAnsi="Times New Roman" w:eastAsia="方正小标宋简体" w:cs="Times New Roman"/>
      <w:bCs/>
      <w:kern w:val="44"/>
      <w:sz w:val="44"/>
      <w:szCs w:val="44"/>
    </w:rPr>
  </w:style>
  <w:style w:type="paragraph" w:styleId="5">
    <w:name w:val="heading 2"/>
    <w:basedOn w:val="6"/>
    <w:next w:val="1"/>
    <w:semiHidden/>
    <w:unhideWhenUsed/>
    <w:qFormat/>
    <w:uiPriority w:val="0"/>
    <w:pPr>
      <w:keepNext/>
      <w:keepLines/>
      <w:adjustRightInd w:val="0"/>
      <w:snapToGrid w:val="0"/>
      <w:spacing w:beforeLines="0" w:beforeAutospacing="0" w:afterLines="0" w:afterAutospacing="0" w:line="600" w:lineRule="exact"/>
      <w:outlineLvl w:val="1"/>
    </w:pPr>
    <w:rPr>
      <w:rFonts w:ascii="Arial" w:hAnsi="Arial" w:eastAsia="华文仿宋"/>
      <w:sz w:val="32"/>
      <w:szCs w:val="22"/>
    </w:rPr>
  </w:style>
  <w:style w:type="paragraph" w:styleId="8">
    <w:name w:val="heading 3"/>
    <w:basedOn w:val="9"/>
    <w:next w:val="1"/>
    <w:semiHidden/>
    <w:unhideWhenUsed/>
    <w:qFormat/>
    <w:uiPriority w:val="0"/>
    <w:pPr>
      <w:keepNext/>
      <w:keepLines/>
      <w:tabs>
        <w:tab w:val="left" w:pos="0"/>
      </w:tabs>
      <w:spacing w:before="2" w:beforeLines="0" w:beforeAutospacing="0" w:afterLines="0" w:afterAutospacing="0" w:line="600" w:lineRule="exact"/>
      <w:outlineLvl w:val="2"/>
    </w:pPr>
    <w:rPr>
      <w:rFonts w:ascii="Times New Roman" w:hAnsi="Times New Roman" w:eastAsia="楷体_GB2312"/>
      <w:b/>
    </w:rPr>
  </w:style>
  <w:style w:type="paragraph" w:styleId="11">
    <w:name w:val="heading 4"/>
    <w:basedOn w:val="1"/>
    <w:next w:val="1"/>
    <w:semiHidden/>
    <w:unhideWhenUsed/>
    <w:qFormat/>
    <w:uiPriority w:val="0"/>
    <w:pPr>
      <w:keepNext/>
      <w:keepLines/>
      <w:adjustRightInd w:val="0"/>
      <w:snapToGrid w:val="0"/>
      <w:spacing w:beforeLines="0" w:beforeAutospacing="0" w:afterLines="0" w:afterAutospacing="0" w:line="600" w:lineRule="exact"/>
      <w:outlineLvl w:val="3"/>
    </w:pPr>
    <w:rPr>
      <w:rFonts w:ascii="Times New Roman" w:hAnsi="Times New Roman" w:eastAsia="仿宋_GB2312" w:cs="Times New Roman"/>
      <w:sz w:val="32"/>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uiPriority w:val="0"/>
    <w:pPr>
      <w:spacing w:after="120" w:afterLines="0" w:afterAutospacing="0"/>
      <w:ind w:left="420" w:leftChars="200"/>
    </w:pPr>
  </w:style>
  <w:style w:type="paragraph" w:styleId="6">
    <w:name w:val="index heading"/>
    <w:basedOn w:val="1"/>
    <w:next w:val="7"/>
    <w:uiPriority w:val="0"/>
    <w:rPr>
      <w:rFonts w:ascii="Arial" w:hAnsi="Arial"/>
      <w:b/>
    </w:rPr>
  </w:style>
  <w:style w:type="paragraph" w:styleId="7">
    <w:name w:val="index 1"/>
    <w:basedOn w:val="1"/>
    <w:next w:val="1"/>
    <w:qFormat/>
    <w:uiPriority w:val="0"/>
  </w:style>
  <w:style w:type="paragraph" w:customStyle="1" w:styleId="9">
    <w:name w:val="一级标题"/>
    <w:basedOn w:val="10"/>
    <w:link w:val="15"/>
    <w:qFormat/>
    <w:uiPriority w:val="0"/>
    <w:pPr>
      <w:tabs>
        <w:tab w:val="left" w:pos="0"/>
      </w:tabs>
      <w:spacing w:line="600" w:lineRule="exact"/>
      <w:ind w:firstLine="640"/>
      <w:jc w:val="left"/>
    </w:pPr>
    <w:rPr>
      <w:rFonts w:hint="eastAsia" w:ascii="黑体" w:hAnsi="黑体" w:eastAsia="黑体" w:cs="黑体"/>
      <w:sz w:val="32"/>
      <w:szCs w:val="32"/>
    </w:rPr>
  </w:style>
  <w:style w:type="paragraph" w:styleId="10">
    <w:name w:val="toa heading"/>
    <w:basedOn w:val="1"/>
    <w:next w:val="1"/>
    <w:uiPriority w:val="0"/>
    <w:pPr>
      <w:spacing w:before="120" w:beforeLines="0" w:beforeAutospacing="0"/>
    </w:pPr>
    <w:rPr>
      <w:rFonts w:ascii="Arial" w:hAnsi="Arial"/>
      <w:sz w:val="24"/>
    </w:rPr>
  </w:style>
  <w:style w:type="paragraph" w:styleId="12">
    <w:name w:val="Body Text"/>
    <w:basedOn w:val="1"/>
    <w:uiPriority w:val="0"/>
    <w:pPr>
      <w:spacing w:after="120" w:afterLines="0" w:afterAutospacing="0"/>
    </w:pPr>
  </w:style>
  <w:style w:type="character" w:customStyle="1" w:styleId="15">
    <w:name w:val="一级标题 Char"/>
    <w:link w:val="9"/>
    <w:uiPriority w:val="0"/>
    <w:rPr>
      <w:rFonts w:hint="eastAsia" w:ascii="黑体" w:hAnsi="黑体" w:eastAsia="黑体" w:cs="黑体"/>
      <w:sz w:val="32"/>
      <w:szCs w:val="32"/>
    </w:rPr>
  </w:style>
  <w:style w:type="paragraph" w:customStyle="1" w:styleId="16">
    <w:name w:val="表标题"/>
    <w:basedOn w:val="1"/>
    <w:next w:val="12"/>
    <w:qFormat/>
    <w:uiPriority w:val="0"/>
    <w:pPr>
      <w:spacing w:line="240" w:lineRule="auto"/>
      <w:jc w:val="center"/>
    </w:pPr>
    <w:rPr>
      <w:rFonts w:hint="eastAsia" w:ascii="楷体_GB2312" w:hAnsi="楷体_GB2312" w:eastAsia="楷体_GB2312" w:cs="楷体_GB2312"/>
      <w:b/>
      <w:bCs/>
      <w:sz w:val="24"/>
      <w:szCs w:val="24"/>
      <w:u w:val="none" w:color="auto"/>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2023-01-06T09:27:00Z</dcterms:created>
  <dc:creator>~阳光D海岸~</dc:creator>
  <cp:lastModifiedBy>~阳光D海岸~</cp:lastModifiedBy>
  <dcterms:modified xsi:type="dcterms:W3CDTF">2023-01-06T09:27:47Z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2EB2965CBF054F85800ABD1CA4D549DA</vt:lpwstr>
  </property>
</Properties>
</file>