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8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兽药</w:t>
      </w:r>
      <w:r>
        <w:rPr>
          <w:rFonts w:ascii="Times New Roman" w:hAnsi="Times New Roman" w:eastAsia="方正小标宋简体"/>
          <w:sz w:val="36"/>
          <w:szCs w:val="36"/>
        </w:rPr>
        <w:t>经营单位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检查表</w:t>
      </w:r>
    </w:p>
    <w:bookmarkEnd w:id="0"/>
    <w:p>
      <w:pPr>
        <w:pStyle w:val="2"/>
        <w:ind w:left="0" w:leftChars="0" w:firstLine="0" w:firstLineChars="0"/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业态类型：农资经营单位                      单位名称（与许可一致）：                      所属街道：</w:t>
      </w:r>
    </w:p>
    <w:tbl>
      <w:tblPr>
        <w:tblStyle w:val="13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源头治理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未在显著位置悬挂《兽药经营许可证》，扣0.1分。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未建有购销台账，查验采购兽药产品包装、标签、产品质量检验合格证以及有关许可证明的，扣0.1分。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存在超范围经营，（包括利用互联网销售）禁停用兽药，加工分装兽药的，扣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存在经营、仓储场所不符合许可要求的，扣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存在未落实索票索证、进货查验制度的，扣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存在购进、储存、销售等未采用可追溯电子系统，或者未正常使用，台账记录不准确、不完整的，扣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未完成高毒高风险农药淘汰工作，扣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未在显著位置张贴《禁停用兽药名录》的，扣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现场未提供从业人员学习农业相关法律法规的记录（自学、企业组织或参加监管部门培训均可），扣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4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宣传活动的相关记录（包括但不限于参加市场监管部门主办的相关活动、自行组织开展的相关活动照片、影像、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显示屏、条幅、海报、传单、宣传册等形式），扣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39335D7054A144AEA68A78B800B0543C</vt:lpwstr>
  </property>
</Properties>
</file>