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6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农业种植单位明查打分表</w:t>
      </w:r>
    </w:p>
    <w:bookmarkEnd w:id="0"/>
    <w:p>
      <w:pPr>
        <w:pStyle w:val="2"/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业态类型：农业种植单位                     单位名称（与许可一致）：                        所属街道：</w:t>
      </w:r>
    </w:p>
    <w:tbl>
      <w:tblPr>
        <w:tblStyle w:val="13"/>
        <w:tblpPr w:leftFromText="180" w:rightFromText="180" w:vertAnchor="text" w:tblpXSpec="center" w:tblpY="1"/>
        <w:tblOverlap w:val="never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源头治理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存在重度污染耕地种植禁止种植的食用农产品，存在污水灌溉，或存在将城镇生活垃圾、污泥、工业废物直接用作肥料的，扣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未建立健全农产品质量安全管理制度的，扣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未制定保障农产品质量安全的生产技术规程或操作手册的，扣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农产品生产企业和农民专业合作经济组织未建立农产品生产记录，记录内容不完整的，扣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应如实记载：使用农业投入品的名称、来源、用法、用量和使用、停用的日期，其中农药使用的记录，需如实记录使用农药的时间、地点、对象以及农药名称、用量、生产企业等内容。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对照技术操作规程查看生产记录，未如实记载栽种育苗、浇水、施肥、收获日期等所有操作的，扣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未如实记录植物病虫草害的发生和防治情况的，扣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现场未提供从业人员学习农业相关法律法规的记录（自学、企业组织或参加监管部门培训均可），扣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宣传活动的相关记录（包括但不限于参加市场监管部门主办的相关活动、自行组织开展的相关活动照片、影像、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显示屏、条幅、海报、传单、宣传册等形式），扣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81B5EF0"/>
    <w:rsid w:val="0AC85742"/>
    <w:rsid w:val="118A0FD0"/>
    <w:rsid w:val="145F6743"/>
    <w:rsid w:val="184473D8"/>
    <w:rsid w:val="1BB10A7E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D1BE4E0E57964988ADB9A6621AA327AD</vt:lpwstr>
  </property>
</Properties>
</file>