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340"/>
        </w:tabs>
        <w:spacing w:beforeLines="50" w:line="360" w:lineRule="exact"/>
        <w:jc w:val="left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w:t>明查表1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0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食品摊贩明查打分表</w:t>
      </w:r>
    </w:p>
    <w:bookmarkEnd w:id="0"/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业态类型：食品摊贩    姓名（与备案卡一致）： 1.         2.               集中区域名称：            所属街道：</w:t>
      </w:r>
    </w:p>
    <w:tbl>
      <w:tblPr>
        <w:tblStyle w:val="13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7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集中整治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根据风险分级，核实年度时间内监督检查频次，未满足频次要求或动态管理的，扣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现场存在销售保健食品、婴配食品、医配食品、裱花蛋糕、生食水产品等禁止经营品种，销售假冒伪劣食品行为的，扣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管理责任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未开展食品安全宣传教育，扣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食品摊贩未在现场显著位置公示《食品摊贩登记备案卡》，扣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现场信息公示不完整的，扣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现场应公示：（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）《食品摊贩登记备案卡》（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）有效的健康证明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过程控制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现场发现存在超登记备案经营品类范围情形，扣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接触直接入口食品的从业人员未持有效的健康证明上岗，扣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pPr>
        <w:spacing w:beforeLines="50" w:line="360" w:lineRule="exact"/>
        <w:jc w:val="left"/>
        <w:rPr>
          <w:rFonts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</w:rPr>
        <w:t>注：</w:t>
      </w:r>
    </w:p>
    <w:p>
      <w:pPr>
        <w:spacing w:beforeLines="50" w:line="360" w:lineRule="exact"/>
        <w:jc w:val="left"/>
        <w:rPr>
          <w:rFonts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</w:rPr>
        <w:t>1.根据《市场监管总局关于全面推进“双随机、一公开”监管工作的通知》，在发挥“双随机、一公开”监管日常性、基础性作用的同时，对涉及重点领域食品药品、产品质量安全和特种设备安全，未列入抽查事项清单的事项，按照现有方式严格监管。重点检查属于有因检查类型，根据抽检情况、舆情反映、投诉举报等线索，对相关食品经营者开展的有针对性的监督检查。其中，监督检查事项，具体包括以下工作：（1）要对属地食品生产企业进行食品安全风险分级，明确企业风险等级，一般风险指的是低风险；（2）根据风险分级情况合理确定监督检查频次、检查方式和检查要求；（3）监督检查实施主体根据各地监管事权划分确定。</w:t>
      </w:r>
    </w:p>
    <w:p>
      <w:pPr>
        <w:spacing w:beforeLines="50" w:line="360" w:lineRule="exact"/>
        <w:jc w:val="left"/>
      </w:pPr>
      <w:r>
        <w:rPr>
          <w:rFonts w:hint="eastAsia" w:ascii="Times New Roman" w:hAnsi="Times New Roman" w:eastAsia="楷体_GB2312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楷体_GB2312"/>
          <w:sz w:val="28"/>
          <w:szCs w:val="28"/>
        </w:rPr>
        <w:t>.“（5</w:t>
      </w:r>
      <w:r>
        <w:rPr>
          <w:rFonts w:hint="eastAsia" w:ascii="Times New Roman" w:hAnsi="Times New Roman" w:eastAsia="楷体_GB2312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楷体_GB2312"/>
          <w:sz w:val="28"/>
          <w:szCs w:val="28"/>
        </w:rPr>
        <w:t>）食品生产经营者依法对食品安全责任落实情况、食品安全状况进行自评自查，主动监测其上市产品质量安全状况，对存在隐患及时采取风险控制措施”中，主动监测的措施包括但不限于：企业自行检验检测、委托第三方检验评价、消费者调查、消费者投诉等。</w:t>
      </w:r>
      <w:r>
        <w:rPr>
          <w:rFonts w:ascii="Times New Roman" w:hAnsi="Times New Roman" w:eastAsia="楷体_GB2312"/>
          <w:sz w:val="28"/>
          <w:szCs w:val="28"/>
        </w:rPr>
        <w:br w:type="page"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81B5EF0"/>
    <w:rsid w:val="0AC85742"/>
    <w:rsid w:val="118A0FD0"/>
    <w:rsid w:val="184473D8"/>
    <w:rsid w:val="1BB10A7E"/>
    <w:rsid w:val="1EF34102"/>
    <w:rsid w:val="2CB50578"/>
    <w:rsid w:val="2CDA6E30"/>
    <w:rsid w:val="33E552A9"/>
    <w:rsid w:val="35F029FD"/>
    <w:rsid w:val="43067708"/>
    <w:rsid w:val="456926CF"/>
    <w:rsid w:val="4605452E"/>
    <w:rsid w:val="46E502D3"/>
    <w:rsid w:val="4F365D17"/>
    <w:rsid w:val="509251CF"/>
    <w:rsid w:val="50BD5D72"/>
    <w:rsid w:val="56811F6E"/>
    <w:rsid w:val="5A8C25F7"/>
    <w:rsid w:val="624B3430"/>
    <w:rsid w:val="655C6080"/>
    <w:rsid w:val="67777244"/>
    <w:rsid w:val="689E5B40"/>
    <w:rsid w:val="69AB1B12"/>
    <w:rsid w:val="6AE23A6C"/>
    <w:rsid w:val="6BDB79E0"/>
    <w:rsid w:val="6D79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58724ACD20AE42DA945BDD2B2488DE82</vt:lpwstr>
  </property>
</Properties>
</file>