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hint="eastAsia" w:ascii="Times New Roman" w:hAnsi="Times New Roman" w:eastAsia="方正小标宋简体"/>
          <w:sz w:val="36"/>
          <w:szCs w:val="36"/>
          <w:lang w:val="en-US" w:eastAsia="zh-CN"/>
        </w:rPr>
        <w:t>便利店（含母婴用品店）</w:t>
      </w:r>
      <w:r>
        <w:rPr>
          <w:rFonts w:ascii="Times New Roman" w:hAnsi="Times New Roman" w:eastAsia="方正小标宋简体"/>
          <w:sz w:val="36"/>
          <w:szCs w:val="36"/>
        </w:rPr>
        <w:t>暗访打分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4204"/>
        <w:gridCol w:w="4478"/>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4204"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4478"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512" w:type="dxa"/>
            <w:vMerge w:val="restart"/>
            <w:vAlign w:val="center"/>
          </w:tcPr>
          <w:p>
            <w:pPr>
              <w:snapToGrid w:val="0"/>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4204" w:type="dxa"/>
            <w:vMerge w:val="restart"/>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（21）对食品生产经营企业全面实行食品安全风险分级管理，得2分；否则相应扣分。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存在超范围经营情况，扣0.5分。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vAlign w:val="center"/>
          </w:tcPr>
          <w:p>
            <w:pPr>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发现无证照经营情况，扣0.5分。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tcBorders>
              <w:top w:val="single" w:color="auto" w:sz="6" w:space="0"/>
            </w:tcBorders>
            <w:vAlign w:val="center"/>
          </w:tcPr>
          <w:p>
            <w:pPr>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销售有温度控制要求的食品，未按温度要求贮存、售卖食品，扣0.5分。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vAlign w:val="center"/>
          </w:tcPr>
          <w:p>
            <w:pPr>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未定期检查记录冷藏、冷冻等设备设施温度，扣0.5分。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vAlign w:val="center"/>
          </w:tcPr>
          <w:p>
            <w:pPr>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直接入口的散装食品未采取使用加盖或非敞开式容器盛放等防护措施，扣0.5分。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1512" w:type="dxa"/>
            <w:vMerge w:val="continue"/>
            <w:vAlign w:val="center"/>
          </w:tcPr>
          <w:p>
            <w:pPr>
              <w:snapToGrid w:val="0"/>
              <w:spacing w:line="240" w:lineRule="exact"/>
              <w:jc w:val="center"/>
              <w:rPr>
                <w:rFonts w:ascii="Times New Roman" w:hAnsi="Times New Roman" w:eastAsia="黑体"/>
                <w:sz w:val="24"/>
                <w:szCs w:val="24"/>
              </w:rPr>
            </w:pPr>
          </w:p>
        </w:tc>
        <w:tc>
          <w:tcPr>
            <w:tcW w:w="4204" w:type="dxa"/>
            <w:vMerge w:val="continue"/>
            <w:tcBorders>
              <w:top w:val="single" w:color="auto" w:sz="6" w:space="0"/>
            </w:tcBorders>
            <w:vAlign w:val="center"/>
          </w:tcPr>
          <w:p>
            <w:pPr>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散装食品的容器、外包装上未按规定标明食品的名称、生产日期或者生产批号、保质期以及生产经营者名称、地址、联系方式等内容，扣0.5分。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1512" w:type="dxa"/>
            <w:vMerge w:val="continue"/>
            <w:vAlign w:val="center"/>
          </w:tcPr>
          <w:p>
            <w:pPr>
              <w:snapToGrid w:val="0"/>
              <w:spacing w:line="240" w:lineRule="exact"/>
              <w:jc w:val="center"/>
              <w:rPr>
                <w:rFonts w:ascii="Times New Roman" w:hAnsi="Times New Roman" w:eastAsia="黑体"/>
                <w:sz w:val="24"/>
                <w:szCs w:val="24"/>
              </w:rPr>
            </w:pPr>
          </w:p>
        </w:tc>
        <w:tc>
          <w:tcPr>
            <w:tcW w:w="4204"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44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发现未落实反食品浪费等有关规定的，扣3分。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1512" w:type="dxa"/>
            <w:vAlign w:val="center"/>
          </w:tcPr>
          <w:p>
            <w:pPr>
              <w:snapToGrid w:val="0"/>
              <w:jc w:val="center"/>
              <w:rPr>
                <w:rFonts w:ascii="Times New Roman" w:hAnsi="Times New Roman" w:eastAsia="黑体"/>
                <w:sz w:val="24"/>
                <w:szCs w:val="24"/>
              </w:rPr>
            </w:pPr>
            <w:r>
              <w:rPr>
                <w:rFonts w:ascii="Times New Roman" w:hAnsi="Times New Roman" w:eastAsia="仿宋_GB2312"/>
                <w:sz w:val="24"/>
                <w:szCs w:val="24"/>
              </w:rPr>
              <w:t>10.集中整治</w:t>
            </w:r>
          </w:p>
        </w:tc>
        <w:tc>
          <w:tcPr>
            <w:tcW w:w="4204"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44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1512" w:type="dxa"/>
            <w:vAlign w:val="center"/>
          </w:tcPr>
          <w:p>
            <w:pPr>
              <w:jc w:val="center"/>
              <w:rPr>
                <w:rFonts w:ascii="Times New Roman" w:hAnsi="Times New Roman" w:eastAsia="黑体"/>
                <w:sz w:val="24"/>
                <w:szCs w:val="24"/>
              </w:rPr>
            </w:pPr>
            <w:r>
              <w:rPr>
                <w:rFonts w:ascii="Times New Roman" w:hAnsi="Times New Roman" w:eastAsia="仿宋_GB2312"/>
                <w:sz w:val="24"/>
                <w:szCs w:val="24"/>
              </w:rPr>
              <w:t>11.社会共治</w:t>
            </w:r>
          </w:p>
        </w:tc>
        <w:tc>
          <w:tcPr>
            <w:tcW w:w="4204"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44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512" w:type="dxa"/>
            <w:vMerge w:val="restart"/>
            <w:vAlign w:val="center"/>
          </w:tcPr>
          <w:p>
            <w:pPr>
              <w:snapToGrid w:val="0"/>
              <w:spacing w:line="240" w:lineRule="exact"/>
              <w:jc w:val="center"/>
              <w:rPr>
                <w:rFonts w:ascii="Times New Roman" w:hAnsi="Times New Roman" w:eastAsia="黑体"/>
                <w:sz w:val="24"/>
                <w:szCs w:val="24"/>
              </w:rPr>
            </w:pPr>
            <w:r>
              <w:rPr>
                <w:rFonts w:ascii="Times New Roman" w:hAnsi="Times New Roman" w:eastAsia="仿宋_GB2312"/>
                <w:sz w:val="24"/>
                <w:szCs w:val="24"/>
              </w:rPr>
              <w:t>20.过程控制</w:t>
            </w:r>
          </w:p>
        </w:tc>
        <w:tc>
          <w:tcPr>
            <w:tcW w:w="4204" w:type="dxa"/>
            <w:vMerge w:val="restart"/>
            <w:tcBorders>
              <w:top w:val="single" w:color="auto" w:sz="6" w:space="0"/>
            </w:tcBorders>
            <w:vAlign w:val="center"/>
          </w:tcPr>
          <w:p>
            <w:pPr>
              <w:widowControl/>
              <w:adjustRightInd w:val="0"/>
              <w:snapToGrid w:val="0"/>
              <w:jc w:val="left"/>
              <w:rPr>
                <w:rFonts w:ascii="Times New Roman" w:hAnsi="Times New Roman" w:eastAsia="仿宋_GB2312"/>
                <w:sz w:val="24"/>
                <w:szCs w:val="24"/>
              </w:rPr>
            </w:pPr>
            <w:r>
              <w:rPr>
                <w:rFonts w:ascii="Times New Roman" w:hAnsi="Times New Roman" w:eastAsia="仿宋_GB2312"/>
                <w:sz w:val="24"/>
                <w:szCs w:val="24"/>
              </w:rPr>
              <w:t>（63）食品经营者经营规范，无虚假夸大宣传行为，得3分；否则相应扣分。</w:t>
            </w: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存在超范围经营保健食品的现象，扣0.5分。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vAlign w:val="center"/>
          </w:tcPr>
          <w:p>
            <w:pPr>
              <w:widowControl/>
              <w:adjustRightInd w:val="0"/>
              <w:snapToGrid w:val="0"/>
              <w:jc w:val="left"/>
              <w:rPr>
                <w:rFonts w:ascii="Times New Roman" w:hAnsi="Times New Roman" w:eastAsia="仿宋_GB2312"/>
                <w:sz w:val="24"/>
                <w:szCs w:val="24"/>
              </w:rPr>
            </w:pPr>
          </w:p>
        </w:tc>
        <w:tc>
          <w:tcPr>
            <w:tcW w:w="44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存在未划定专门的区域或柜台、货架摆放、销售保健食品，以及未设立“保健食品销售专区（或专柜）”提示牌的情况，扣0.5分。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vAlign w:val="center"/>
          </w:tcPr>
          <w:p>
            <w:pPr>
              <w:widowControl/>
              <w:adjustRightInd w:val="0"/>
              <w:snapToGrid w:val="0"/>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存在保健食品与普通食品混放销售的情况，扣0.5分。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vAlign w:val="center"/>
          </w:tcPr>
          <w:p>
            <w:pPr>
              <w:widowControl/>
              <w:adjustRightInd w:val="0"/>
              <w:snapToGrid w:val="0"/>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经营场所及其周边存在发放、张贴、悬挂虚假宣传资料等方式推销保健食品的情况，扣0.5分。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vAlign w:val="center"/>
          </w:tcPr>
          <w:p>
            <w:pPr>
              <w:widowControl/>
              <w:adjustRightInd w:val="0"/>
              <w:snapToGrid w:val="0"/>
              <w:jc w:val="left"/>
              <w:rPr>
                <w:rFonts w:ascii="Times New Roman" w:hAnsi="Times New Roman" w:eastAsia="仿宋_GB2312"/>
                <w:sz w:val="24"/>
                <w:szCs w:val="24"/>
              </w:rPr>
            </w:pPr>
          </w:p>
        </w:tc>
        <w:tc>
          <w:tcPr>
            <w:tcW w:w="44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销售人员不了解保健食品与普通食品的区别，或存在误导消费者购买的行为，扣0.5分。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4204" w:type="dxa"/>
            <w:vMerge w:val="continue"/>
            <w:vAlign w:val="center"/>
          </w:tcPr>
          <w:p>
            <w:pPr>
              <w:widowControl/>
              <w:adjustRightInd w:val="0"/>
              <w:snapToGrid w:val="0"/>
              <w:jc w:val="left"/>
              <w:rPr>
                <w:rFonts w:ascii="Times New Roman" w:hAnsi="Times New Roman" w:eastAsia="仿宋_GB2312"/>
                <w:sz w:val="24"/>
                <w:szCs w:val="24"/>
              </w:rPr>
            </w:pPr>
          </w:p>
        </w:tc>
        <w:tc>
          <w:tcPr>
            <w:tcW w:w="44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存在其他虚假夸大宣传行为，每发现一次，扣0.5分。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 xml:space="preserve">检查人员签字：                                             </w:t>
      </w:r>
      <w:bookmarkStart w:id="0" w:name="_GoBack"/>
      <w:bookmarkEnd w:id="0"/>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7D134E2"/>
    <w:rsid w:val="0B705F30"/>
    <w:rsid w:val="26910ECE"/>
    <w:rsid w:val="451C0458"/>
    <w:rsid w:val="49046A73"/>
    <w:rsid w:val="606F7C71"/>
    <w:rsid w:val="690949F4"/>
    <w:rsid w:val="70EF01E1"/>
    <w:rsid w:val="76FE3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2021-09-01T14:15:06Z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