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食品超市暗访打分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204"/>
        <w:gridCol w:w="44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2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4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512" w:type="dxa"/>
            <w:vMerge w:val="restart"/>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2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（21）对食品生产经营企业全面实行食品安全风险分级管理，得2分；否则相应扣分。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存在超范围经营情况，扣0.5分。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发现无证照经营情况，扣0.5分。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tcBorders>
              <w:top w:val="single" w:color="auto" w:sz="6" w:space="0"/>
            </w:tcBorders>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销售有温度控制要求的食品，未按温度要求贮存、售卖食品，扣0.5分。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bookmarkEnd w:id="0"/>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bookmarkStart w:id="1" w:name="_GoBack" w:colFirst="2" w:colLast="2"/>
            <w:bookmarkEnd w:id="1"/>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未定期检查记录冷藏、冷冻等设备设施温度，扣0.5分。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直接入口的散装食品未采取使用加盖或非敞开式容器盛放等防护措施，扣0.5分。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Merge w:val="continue"/>
            <w:vAlign w:val="center"/>
          </w:tcPr>
          <w:p>
            <w:pPr>
              <w:snapToGrid w:val="0"/>
              <w:spacing w:line="240" w:lineRule="exact"/>
              <w:jc w:val="center"/>
              <w:rPr>
                <w:rFonts w:ascii="Times New Roman" w:hAnsi="Times New Roman" w:eastAsia="黑体"/>
                <w:sz w:val="24"/>
                <w:szCs w:val="24"/>
              </w:rPr>
            </w:pPr>
          </w:p>
        </w:tc>
        <w:tc>
          <w:tcPr>
            <w:tcW w:w="4204" w:type="dxa"/>
            <w:vMerge w:val="continue"/>
            <w:tcBorders>
              <w:top w:val="single" w:color="auto" w:sz="6" w:space="0"/>
            </w:tcBorders>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散装食品的容器、外包装上未按规定标明食品的名称、生产日期或者生产批号、保质期以及生产经营者名称、地址、联系方式等内容，扣0.5分。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Merge w:val="continue"/>
            <w:vAlign w:val="center"/>
          </w:tcPr>
          <w:p>
            <w:pPr>
              <w:snapToGrid w:val="0"/>
              <w:spacing w:line="240" w:lineRule="exact"/>
              <w:jc w:val="center"/>
              <w:rPr>
                <w:rFonts w:ascii="Times New Roman" w:hAnsi="Times New Roman" w:eastAsia="黑体"/>
                <w:sz w:val="24"/>
                <w:szCs w:val="24"/>
              </w:rPr>
            </w:pPr>
          </w:p>
        </w:tc>
        <w:tc>
          <w:tcPr>
            <w:tcW w:w="42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发现未落实反食品浪费等有关规定的，扣3分。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Align w:val="center"/>
          </w:tcPr>
          <w:p>
            <w:pPr>
              <w:snapToGrid w:val="0"/>
              <w:jc w:val="center"/>
              <w:rPr>
                <w:rFonts w:ascii="Times New Roman" w:hAnsi="Times New Roman" w:eastAsia="黑体"/>
                <w:sz w:val="24"/>
                <w:szCs w:val="24"/>
              </w:rPr>
            </w:pPr>
            <w:r>
              <w:rPr>
                <w:rFonts w:ascii="Times New Roman" w:hAnsi="Times New Roman" w:eastAsia="仿宋_GB2312"/>
                <w:sz w:val="24"/>
                <w:szCs w:val="24"/>
              </w:rPr>
              <w:t>10.集中整治</w:t>
            </w:r>
          </w:p>
        </w:tc>
        <w:tc>
          <w:tcPr>
            <w:tcW w:w="42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Align w:val="center"/>
          </w:tcPr>
          <w:p>
            <w:pPr>
              <w:jc w:val="center"/>
              <w:rPr>
                <w:rFonts w:ascii="Times New Roman" w:hAnsi="Times New Roman" w:eastAsia="黑体"/>
                <w:sz w:val="24"/>
                <w:szCs w:val="24"/>
              </w:rPr>
            </w:pPr>
            <w:r>
              <w:rPr>
                <w:rFonts w:ascii="Times New Roman" w:hAnsi="Times New Roman" w:eastAsia="仿宋_GB2312"/>
                <w:sz w:val="24"/>
                <w:szCs w:val="24"/>
              </w:rPr>
              <w:t>11.社会共治</w:t>
            </w:r>
          </w:p>
        </w:tc>
        <w:tc>
          <w:tcPr>
            <w:tcW w:w="42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512" w:type="dxa"/>
            <w:vMerge w:val="restart"/>
            <w:vAlign w:val="center"/>
          </w:tcPr>
          <w:p>
            <w:pPr>
              <w:snapToGrid w:val="0"/>
              <w:spacing w:line="240" w:lineRule="exact"/>
              <w:jc w:val="center"/>
              <w:rPr>
                <w:rFonts w:ascii="Times New Roman" w:hAnsi="Times New Roman" w:eastAsia="黑体"/>
                <w:sz w:val="24"/>
                <w:szCs w:val="24"/>
              </w:rPr>
            </w:pPr>
            <w:r>
              <w:rPr>
                <w:rFonts w:ascii="Times New Roman" w:hAnsi="Times New Roman" w:eastAsia="仿宋_GB2312"/>
                <w:sz w:val="24"/>
                <w:szCs w:val="24"/>
              </w:rPr>
              <w:t>20.过程控制</w:t>
            </w:r>
          </w:p>
        </w:tc>
        <w:tc>
          <w:tcPr>
            <w:tcW w:w="4204" w:type="dxa"/>
            <w:vMerge w:val="restart"/>
            <w:tcBorders>
              <w:top w:val="single" w:color="auto" w:sz="6" w:space="0"/>
            </w:tcBorders>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存在超范围经营保健食品的现象，扣0.5分。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存在未划定专门的区域或柜台、货架摆放、销售保健食品，以及未设立“保健食品销售专区（或专柜）”提示牌的情况，扣0.5分。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存在保健食品与普通食品混放销售的情况，扣0.5分。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经营场所及其周边存在发放、张贴、悬挂虚假宣传资料等方式推销保健食品的情况，扣0.5分。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销售人员不了解保健食品与普通食品的区别，或存在误导消费者购买的行为，扣0.5分。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存在其他虚假夸大宣传行为，每发现一次，扣0.5分。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 xml:space="preserve">检查人员签字：                                              </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25A96D1B"/>
    <w:rsid w:val="26910ECE"/>
    <w:rsid w:val="328C5CCA"/>
    <w:rsid w:val="451C0458"/>
    <w:rsid w:val="49046A73"/>
    <w:rsid w:val="690949F4"/>
    <w:rsid w:val="70EF01E1"/>
    <w:rsid w:val="76FE3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黄小短</cp:lastModifiedBy>
  <dcterms:modified xsi:type="dcterms:W3CDTF">2022-01-19T06:27:46Z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949D40B8F0424EB4BD8DE592FC7D9B03</vt:lpwstr>
  </property>
</Properties>
</file>