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方正小标宋简体"/>
          <w:sz w:val="36"/>
          <w:szCs w:val="36"/>
        </w:rPr>
      </w:pPr>
      <w:r>
        <w:rPr>
          <w:rFonts w:ascii="Times New Roman" w:hAnsi="Times New Roman" w:eastAsia="方正小标宋简体"/>
          <w:sz w:val="36"/>
          <w:szCs w:val="36"/>
        </w:rPr>
        <w:t>餐饮服务单位（不含小餐饮）暗访打分</w:t>
      </w:r>
      <w:r>
        <w:rPr>
          <w:rFonts w:hint="eastAsia" w:ascii="Times New Roman" w:hAnsi="Times New Roman" w:eastAsia="方正小标宋简体"/>
          <w:sz w:val="36"/>
          <w:szCs w:val="36"/>
        </w:rPr>
        <w:t>表</w:t>
      </w:r>
    </w:p>
    <w:p>
      <w:pPr>
        <w:pStyle w:val="2"/>
        <w:spacing w:line="280" w:lineRule="exact"/>
        <w:ind w:left="0" w:leftChars="0" w:firstLine="0" w:firstLineChars="0"/>
        <w:jc w:val="left"/>
        <w:rPr>
          <w:rFonts w:hint="default" w:ascii="Times New Roman" w:hAnsi="Times New Roman" w:eastAsia="仿宋_GB2312"/>
          <w:sz w:val="28"/>
          <w:szCs w:val="28"/>
          <w:lang w:val="en-US" w:eastAsia="zh-CN"/>
        </w:rPr>
      </w:pPr>
      <w:r>
        <w:rPr>
          <w:rFonts w:hint="eastAsia" w:ascii="Times New Roman" w:hAnsi="Times New Roman" w:eastAsia="仿宋_GB2312"/>
          <w:sz w:val="24"/>
          <w:szCs w:val="24"/>
          <w:lang w:val="en-US" w:eastAsia="zh-CN"/>
        </w:rPr>
        <w:t>被检查单位：                                             所属街道：                      检查日期：</w:t>
      </w:r>
    </w:p>
    <w:tbl>
      <w:tblPr>
        <w:tblStyle w:val="6"/>
        <w:tblW w:w="14255" w:type="dxa"/>
        <w:jc w:val="center"/>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4090"/>
        <w:gridCol w:w="4592"/>
        <w:gridCol w:w="995"/>
        <w:gridCol w:w="3066"/>
      </w:tblGrid>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81" w:hRule="atLeast"/>
          <w:tblHeader/>
          <w:jc w:val="center"/>
        </w:trPr>
        <w:tc>
          <w:tcPr>
            <w:tcW w:w="1512" w:type="dxa"/>
            <w:tcBorders>
              <w:top w:val="single" w:color="auto" w:sz="6" w:space="0"/>
            </w:tcBorders>
            <w:shd w:val="clear" w:color="auto" w:fill="BDD6EE" w:themeFill="accent1" w:themeFillTint="66"/>
            <w:vAlign w:val="center"/>
          </w:tcPr>
          <w:p>
            <w:pPr>
              <w:pStyle w:val="2"/>
              <w:spacing w:line="280" w:lineRule="exact"/>
              <w:ind w:left="0" w:leftChars="0" w:firstLine="0" w:firstLineChars="0"/>
              <w:jc w:val="center"/>
              <w:rPr>
                <w:rFonts w:ascii="Times New Roman" w:hAnsi="Times New Roman"/>
                <w:sz w:val="24"/>
                <w:szCs w:val="24"/>
              </w:rPr>
            </w:pPr>
            <w:r>
              <w:rPr>
                <w:rFonts w:ascii="Times New Roman" w:hAnsi="Times New Roman" w:eastAsia="黑体"/>
                <w:sz w:val="24"/>
                <w:szCs w:val="24"/>
              </w:rPr>
              <w:t>评价要点</w:t>
            </w:r>
          </w:p>
        </w:tc>
        <w:tc>
          <w:tcPr>
            <w:tcW w:w="4090" w:type="dxa"/>
            <w:tcBorders>
              <w:top w:val="single" w:color="auto" w:sz="6" w:space="0"/>
            </w:tcBorders>
            <w:shd w:val="clear" w:color="auto" w:fill="BDD6EE" w:themeFill="accent1" w:themeFillTint="66"/>
            <w:vAlign w:val="center"/>
          </w:tcPr>
          <w:p>
            <w:pPr>
              <w:jc w:val="center"/>
              <w:rPr>
                <w:rFonts w:ascii="Times New Roman" w:hAnsi="Times New Roman" w:eastAsia="黑体"/>
                <w:sz w:val="24"/>
                <w:szCs w:val="24"/>
              </w:rPr>
            </w:pPr>
            <w:r>
              <w:rPr>
                <w:rFonts w:ascii="Times New Roman" w:hAnsi="Times New Roman" w:eastAsia="黑体"/>
                <w:sz w:val="24"/>
                <w:szCs w:val="24"/>
              </w:rPr>
              <w:t>对应检查内容及分值</w:t>
            </w:r>
          </w:p>
          <w:p>
            <w:pPr>
              <w:spacing w:line="280" w:lineRule="exact"/>
              <w:jc w:val="center"/>
              <w:rPr>
                <w:rFonts w:ascii="Times New Roman" w:hAnsi="Times New Roman" w:eastAsia="黑体"/>
                <w:sz w:val="24"/>
                <w:szCs w:val="24"/>
              </w:rPr>
            </w:pPr>
            <w:r>
              <w:rPr>
                <w:rFonts w:ascii="Times New Roman" w:hAnsi="Times New Roman" w:eastAsia="黑体"/>
                <w:sz w:val="24"/>
                <w:szCs w:val="24"/>
              </w:rPr>
              <w:t>（单项扣完为止）</w:t>
            </w:r>
          </w:p>
        </w:tc>
        <w:tc>
          <w:tcPr>
            <w:tcW w:w="4592" w:type="dxa"/>
            <w:tcBorders>
              <w:top w:val="single" w:color="auto" w:sz="6" w:space="0"/>
            </w:tcBorders>
            <w:shd w:val="clear" w:color="auto" w:fill="BDD6EE" w:themeFill="accent1" w:themeFillTint="66"/>
            <w:vAlign w:val="center"/>
          </w:tcPr>
          <w:p>
            <w:pPr>
              <w:spacing w:line="280" w:lineRule="exact"/>
              <w:jc w:val="center"/>
              <w:rPr>
                <w:rFonts w:ascii="Times New Roman" w:hAnsi="Times New Roman" w:eastAsia="黑体"/>
                <w:sz w:val="24"/>
                <w:szCs w:val="24"/>
              </w:rPr>
            </w:pPr>
            <w:r>
              <w:rPr>
                <w:rFonts w:ascii="Times New Roman" w:hAnsi="Times New Roman" w:eastAsia="黑体"/>
                <w:sz w:val="24"/>
                <w:szCs w:val="24"/>
              </w:rPr>
              <w:t>评分标准</w:t>
            </w:r>
          </w:p>
        </w:tc>
        <w:tc>
          <w:tcPr>
            <w:tcW w:w="995" w:type="dxa"/>
            <w:tcBorders>
              <w:top w:val="single" w:color="auto" w:sz="6" w:space="0"/>
            </w:tcBorders>
            <w:shd w:val="clear" w:color="auto" w:fill="BDD6EE" w:themeFill="accent1" w:themeFillTint="66"/>
            <w:vAlign w:val="center"/>
          </w:tcPr>
          <w:p>
            <w:pPr>
              <w:spacing w:line="280" w:lineRule="exact"/>
              <w:jc w:val="center"/>
              <w:rPr>
                <w:rFonts w:hint="default" w:ascii="Times New Roman" w:hAnsi="Times New Roman" w:eastAsia="黑体"/>
                <w:sz w:val="24"/>
                <w:szCs w:val="24"/>
                <w:lang w:val="en-US" w:eastAsia="zh-CN"/>
              </w:rPr>
            </w:pPr>
            <w:r>
              <w:rPr>
                <w:rFonts w:hint="eastAsia" w:ascii="Times New Roman" w:hAnsi="Times New Roman" w:eastAsia="黑体"/>
                <w:sz w:val="24"/>
                <w:szCs w:val="24"/>
                <w:lang w:val="en-US" w:eastAsia="zh-CN"/>
              </w:rPr>
              <w:t>扣分数</w:t>
            </w:r>
          </w:p>
        </w:tc>
        <w:tc>
          <w:tcPr>
            <w:tcW w:w="3066" w:type="dxa"/>
            <w:tcBorders>
              <w:top w:val="single" w:color="auto" w:sz="6" w:space="0"/>
            </w:tcBorders>
            <w:shd w:val="clear" w:color="auto" w:fill="BDD6EE" w:themeFill="accent1" w:themeFillTint="66"/>
            <w:vAlign w:val="center"/>
          </w:tcPr>
          <w:p>
            <w:pPr>
              <w:spacing w:line="280" w:lineRule="exact"/>
              <w:jc w:val="center"/>
              <w:rPr>
                <w:rFonts w:hint="default" w:ascii="Times New Roman" w:hAnsi="Times New Roman" w:eastAsia="黑体"/>
                <w:sz w:val="24"/>
                <w:szCs w:val="24"/>
                <w:lang w:val="en-US" w:eastAsia="zh-CN"/>
              </w:rPr>
            </w:pPr>
            <w:r>
              <w:rPr>
                <w:rFonts w:hint="eastAsia" w:ascii="Times New Roman" w:hAnsi="Times New Roman" w:eastAsia="黑体"/>
                <w:sz w:val="24"/>
                <w:szCs w:val="24"/>
                <w:lang w:val="en-US" w:eastAsia="zh-CN"/>
              </w:rPr>
              <w:t>扣分原因</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1659" w:hRule="atLeast"/>
          <w:jc w:val="center"/>
        </w:trPr>
        <w:tc>
          <w:tcPr>
            <w:tcW w:w="1512" w:type="dxa"/>
            <w:vAlign w:val="center"/>
          </w:tcPr>
          <w:p>
            <w:pPr>
              <w:spacing w:line="240" w:lineRule="exact"/>
              <w:jc w:val="center"/>
              <w:rPr>
                <w:rFonts w:ascii="Times New Roman" w:hAnsi="Times New Roman" w:eastAsia="仿宋_GB2312"/>
                <w:sz w:val="24"/>
                <w:szCs w:val="24"/>
              </w:rPr>
            </w:pPr>
            <w:r>
              <w:rPr>
                <w:rFonts w:ascii="Times New Roman" w:hAnsi="Times New Roman" w:eastAsia="仿宋_GB2312"/>
                <w:sz w:val="24"/>
                <w:szCs w:val="24"/>
              </w:rPr>
              <w:t>7.过程监督</w:t>
            </w:r>
          </w:p>
        </w:tc>
        <w:tc>
          <w:tcPr>
            <w:tcW w:w="4090"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（28）严格执行关于全面禁止非法野生动物交易、长江流域禁捕、反食品浪费等有关规定，得3分；否则不得分。</w:t>
            </w:r>
          </w:p>
        </w:tc>
        <w:tc>
          <w:tcPr>
            <w:tcW w:w="4592"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发现未落实全面禁止非法野生动物交易、长江流域禁捕、反食品浪费等有关规定的，扣3分。</w:t>
            </w:r>
          </w:p>
        </w:tc>
        <w:tc>
          <w:tcPr>
            <w:tcW w:w="995" w:type="dxa"/>
            <w:tcBorders>
              <w:top w:val="single" w:color="auto" w:sz="6" w:space="0"/>
            </w:tcBorders>
            <w:vAlign w:val="center"/>
          </w:tcPr>
          <w:p>
            <w:pPr>
              <w:jc w:val="left"/>
              <w:rPr>
                <w:rFonts w:ascii="Times New Roman" w:hAnsi="Times New Roman" w:eastAsia="仿宋_GB2312"/>
                <w:sz w:val="24"/>
                <w:szCs w:val="24"/>
              </w:rPr>
            </w:pPr>
          </w:p>
        </w:tc>
        <w:tc>
          <w:tcPr>
            <w:tcW w:w="3066" w:type="dxa"/>
            <w:tcBorders>
              <w:top w:val="single" w:color="auto" w:sz="6" w:space="0"/>
            </w:tcBorders>
            <w:vAlign w:val="center"/>
          </w:tcPr>
          <w:p>
            <w:pPr>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Align w:val="center"/>
          </w:tcPr>
          <w:p>
            <w:pPr>
              <w:jc w:val="center"/>
              <w:rPr>
                <w:rFonts w:ascii="Times New Roman" w:hAnsi="Times New Roman" w:eastAsia="仿宋_GB2312"/>
                <w:sz w:val="24"/>
                <w:szCs w:val="24"/>
              </w:rPr>
            </w:pPr>
            <w:r>
              <w:rPr>
                <w:rFonts w:ascii="Times New Roman" w:hAnsi="Times New Roman" w:eastAsia="仿宋_GB2312"/>
                <w:sz w:val="24"/>
                <w:szCs w:val="24"/>
              </w:rPr>
              <w:t>11.社会共治</w:t>
            </w:r>
          </w:p>
        </w:tc>
        <w:tc>
          <w:tcPr>
            <w:tcW w:w="4090" w:type="dxa"/>
            <w:tcBorders>
              <w:top w:val="single" w:color="auto" w:sz="6" w:space="0"/>
            </w:tcBorders>
            <w:vAlign w:val="center"/>
          </w:tcPr>
          <w:p>
            <w:pPr>
              <w:snapToGrid w:val="0"/>
              <w:rPr>
                <w:rFonts w:ascii="Times New Roman" w:hAnsi="Times New Roman" w:eastAsia="仿宋_GB2312"/>
                <w:sz w:val="24"/>
                <w:szCs w:val="24"/>
              </w:rPr>
            </w:pPr>
            <w:r>
              <w:rPr>
                <w:rFonts w:ascii="Times New Roman" w:hAnsi="Times New Roman" w:eastAsia="仿宋_GB2312"/>
                <w:sz w:val="24"/>
                <w:szCs w:val="24"/>
              </w:rPr>
              <w:t>（39）落实普法责任制，持续加强食品安全法律法规、国家标准、科学知识的宣传教育，得2分；否则相应扣分。</w:t>
            </w:r>
          </w:p>
          <w:p>
            <w:pPr>
              <w:snapToGrid w:val="0"/>
              <w:ind w:firstLine="480" w:firstLineChars="200"/>
              <w:rPr>
                <w:rFonts w:ascii="Times New Roman" w:hAnsi="Times New Roman" w:eastAsia="仿宋_GB2312"/>
                <w:sz w:val="24"/>
                <w:szCs w:val="24"/>
              </w:rPr>
            </w:pPr>
            <w:r>
              <w:rPr>
                <w:rFonts w:ascii="Times New Roman" w:hAnsi="Times New Roman" w:eastAsia="仿宋_GB2312"/>
                <w:sz w:val="24"/>
                <w:szCs w:val="24"/>
              </w:rPr>
              <w:t>持续开展“食品安全宣传周”活动，得3分；否则不得分。</w:t>
            </w:r>
          </w:p>
          <w:p>
            <w:pPr>
              <w:ind w:firstLine="480" w:firstLineChars="200"/>
              <w:jc w:val="left"/>
              <w:rPr>
                <w:rFonts w:ascii="Times New Roman" w:hAnsi="Times New Roman" w:eastAsia="仿宋_GB2312"/>
                <w:sz w:val="24"/>
                <w:szCs w:val="24"/>
              </w:rPr>
            </w:pPr>
            <w:r>
              <w:rPr>
                <w:rFonts w:ascii="Times New Roman" w:hAnsi="Times New Roman" w:eastAsia="仿宋_GB2312"/>
                <w:sz w:val="24"/>
                <w:szCs w:val="24"/>
              </w:rPr>
              <w:t>开展校园食品安全和营养教育，得2分；否则相应扣分。</w:t>
            </w:r>
          </w:p>
        </w:tc>
        <w:tc>
          <w:tcPr>
            <w:tcW w:w="4592"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未开展食品安全宣传教育，每发现一次，扣0.5分。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restart"/>
            <w:vAlign w:val="center"/>
          </w:tcPr>
          <w:p>
            <w:pPr>
              <w:jc w:val="center"/>
              <w:rPr>
                <w:rFonts w:ascii="Times New Roman" w:hAnsi="Times New Roman" w:eastAsia="仿宋_GB2312"/>
                <w:sz w:val="24"/>
                <w:szCs w:val="24"/>
              </w:rPr>
            </w:pPr>
            <w:r>
              <w:rPr>
                <w:rFonts w:ascii="Times New Roman" w:hAnsi="Times New Roman" w:eastAsia="仿宋_GB2312"/>
                <w:sz w:val="24"/>
                <w:szCs w:val="24"/>
              </w:rPr>
              <w:t>20.过程控制</w:t>
            </w:r>
          </w:p>
          <w:p>
            <w:pPr>
              <w:spacing w:line="240" w:lineRule="exact"/>
              <w:jc w:val="center"/>
              <w:rPr>
                <w:rFonts w:ascii="Times New Roman" w:hAnsi="Times New Roman" w:eastAsia="仿宋_GB2312"/>
                <w:spacing w:val="-6"/>
                <w:sz w:val="24"/>
                <w:szCs w:val="24"/>
              </w:rPr>
            </w:pPr>
          </w:p>
          <w:p>
            <w:pPr>
              <w:spacing w:line="240" w:lineRule="exact"/>
              <w:jc w:val="center"/>
              <w:rPr>
                <w:rFonts w:ascii="Times New Roman" w:hAnsi="Times New Roman" w:eastAsia="仿宋_GB2312"/>
                <w:sz w:val="24"/>
                <w:szCs w:val="24"/>
              </w:rPr>
            </w:pPr>
          </w:p>
        </w:tc>
        <w:tc>
          <w:tcPr>
            <w:tcW w:w="4090" w:type="dxa"/>
            <w:vAlign w:val="center"/>
          </w:tcPr>
          <w:p>
            <w:pPr>
              <w:rPr>
                <w:rFonts w:ascii="Times New Roman" w:hAnsi="Times New Roman" w:eastAsia="仿宋_GB2312"/>
                <w:sz w:val="24"/>
                <w:szCs w:val="24"/>
              </w:rPr>
            </w:pPr>
            <w:r>
              <w:rPr>
                <w:rFonts w:ascii="Times New Roman" w:hAnsi="Times New Roman" w:eastAsia="仿宋_GB2312"/>
                <w:sz w:val="24"/>
                <w:szCs w:val="24"/>
              </w:rPr>
              <w:t>（58）食品生产经营者依法对食品安全责任落实情况、食品安全状况进行自评自查，主动监测其上市产品质量安全状况，对存在隐患及时采取风险控制措施，得3分；否则相应扣分。</w:t>
            </w:r>
          </w:p>
          <w:p>
            <w:pPr>
              <w:ind w:firstLine="480" w:firstLineChars="200"/>
              <w:rPr>
                <w:rFonts w:ascii="Times New Roman" w:hAnsi="Times New Roman" w:eastAsia="仿宋_GB2312"/>
                <w:sz w:val="24"/>
                <w:szCs w:val="24"/>
              </w:rPr>
            </w:pPr>
            <w:r>
              <w:rPr>
                <w:rFonts w:ascii="Times New Roman" w:hAnsi="Times New Roman" w:eastAsia="仿宋_GB2312"/>
                <w:sz w:val="24"/>
                <w:szCs w:val="24"/>
              </w:rPr>
              <w:t>食品生产企业自查风险报告率达到100%，得1分；否则不得分。</w:t>
            </w:r>
          </w:p>
          <w:p>
            <w:pPr>
              <w:ind w:firstLine="480" w:firstLineChars="200"/>
              <w:jc w:val="left"/>
              <w:rPr>
                <w:rFonts w:ascii="Times New Roman" w:hAnsi="Times New Roman" w:eastAsia="仿宋_GB2312"/>
                <w:sz w:val="24"/>
                <w:szCs w:val="24"/>
              </w:rPr>
            </w:pPr>
            <w:r>
              <w:rPr>
                <w:rFonts w:ascii="Times New Roman" w:hAnsi="Times New Roman" w:eastAsia="仿宋_GB2312"/>
                <w:sz w:val="24"/>
                <w:szCs w:val="24"/>
              </w:rPr>
              <w:t>接触直接入口食品的从业人员持有效健康证明上岗，生产加工经营过程严格执行食品生产经营安全相关规范要求，得2分；否则相应扣分。</w:t>
            </w:r>
          </w:p>
        </w:tc>
        <w:tc>
          <w:tcPr>
            <w:tcW w:w="4592" w:type="dxa"/>
            <w:tcBorders>
              <w:top w:val="single" w:color="auto" w:sz="6" w:space="0"/>
            </w:tcBorders>
            <w:vAlign w:val="center"/>
          </w:tcPr>
          <w:p>
            <w:pPr>
              <w:widowControl/>
              <w:snapToGrid w:val="0"/>
              <w:jc w:val="left"/>
              <w:rPr>
                <w:rFonts w:ascii="Times New Roman" w:hAnsi="Times New Roman" w:eastAsia="仿宋_GB2312"/>
                <w:sz w:val="24"/>
                <w:szCs w:val="24"/>
              </w:rPr>
            </w:pPr>
            <w:r>
              <w:rPr>
                <w:rFonts w:ascii="Times New Roman" w:hAnsi="Times New Roman" w:eastAsia="仿宋_GB2312"/>
                <w:sz w:val="24"/>
                <w:szCs w:val="24"/>
              </w:rPr>
              <w:t>从事接触直接入口食品工作的人员未取得健康证明，每发现一次，扣0.5分。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1133"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4090" w:type="dxa"/>
            <w:vMerge w:val="restart"/>
            <w:tcBorders>
              <w:top w:val="single" w:color="auto" w:sz="6" w:space="0"/>
            </w:tcBorders>
            <w:vAlign w:val="center"/>
          </w:tcPr>
          <w:p>
            <w:pPr>
              <w:snapToGrid w:val="0"/>
              <w:jc w:val="left"/>
              <w:rPr>
                <w:rFonts w:ascii="Times New Roman" w:hAnsi="Times New Roman" w:eastAsia="仿宋_GB2312"/>
                <w:sz w:val="24"/>
                <w:szCs w:val="24"/>
              </w:rPr>
            </w:pPr>
            <w:r>
              <w:rPr>
                <w:rFonts w:ascii="Times New Roman" w:hAnsi="Times New Roman" w:eastAsia="仿宋_GB2312"/>
                <w:sz w:val="24"/>
                <w:szCs w:val="24"/>
              </w:rPr>
              <w:t>（64）餐饮服务单位严格执行餐饮服务食品安全操作规范，经营过程、场所环境、人员管理等符合相关规定，餐厨垃圾集中收集处置，得3分；否则相应扣分。</w:t>
            </w:r>
          </w:p>
          <w:p>
            <w:pPr>
              <w:snapToGrid w:val="0"/>
              <w:ind w:firstLine="480" w:firstLineChars="200"/>
              <w:jc w:val="left"/>
              <w:rPr>
                <w:rFonts w:ascii="Times New Roman" w:hAnsi="Times New Roman" w:eastAsia="仿宋_GB2312"/>
                <w:sz w:val="24"/>
                <w:szCs w:val="24"/>
              </w:rPr>
            </w:pPr>
            <w:r>
              <w:rPr>
                <w:rFonts w:ascii="Times New Roman" w:hAnsi="Times New Roman" w:eastAsia="仿宋_GB2312"/>
                <w:sz w:val="24"/>
                <w:szCs w:val="24"/>
              </w:rPr>
              <w:t>发展连锁经营和中央厨房，快餐、团餐等大众餐饮服务规范，餐饮行业标准化水平提升，得2分；否则相应扣分。</w:t>
            </w:r>
          </w:p>
        </w:tc>
        <w:tc>
          <w:tcPr>
            <w:tcW w:w="4592" w:type="dxa"/>
            <w:tcBorders>
              <w:top w:val="single" w:color="auto" w:sz="6" w:space="0"/>
            </w:tcBorders>
            <w:vAlign w:val="center"/>
          </w:tcPr>
          <w:p>
            <w:pPr>
              <w:widowControl/>
              <w:snapToGrid w:val="0"/>
              <w:jc w:val="left"/>
              <w:rPr>
                <w:rFonts w:ascii="Times New Roman" w:hAnsi="Times New Roman" w:eastAsia="仿宋_GB2312"/>
                <w:sz w:val="24"/>
                <w:szCs w:val="24"/>
              </w:rPr>
            </w:pPr>
            <w:r>
              <w:rPr>
                <w:rFonts w:ascii="Times New Roman" w:hAnsi="Times New Roman" w:eastAsia="仿宋_GB2312"/>
                <w:sz w:val="24"/>
                <w:szCs w:val="24"/>
              </w:rPr>
              <w:t>未设置餐饮具消毒设施或未有效使用，扣0.5分。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878"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4090" w:type="dxa"/>
            <w:vMerge w:val="continue"/>
            <w:vAlign w:val="center"/>
          </w:tcPr>
          <w:p>
            <w:pPr>
              <w:snapToGrid w:val="0"/>
              <w:jc w:val="left"/>
              <w:rPr>
                <w:rFonts w:ascii="Times New Roman" w:hAnsi="Times New Roman" w:eastAsia="仿宋_GB2312"/>
                <w:sz w:val="24"/>
                <w:szCs w:val="24"/>
              </w:rPr>
            </w:pPr>
          </w:p>
        </w:tc>
        <w:tc>
          <w:tcPr>
            <w:tcW w:w="4592" w:type="dxa"/>
            <w:tcBorders>
              <w:top w:val="single" w:color="auto" w:sz="6" w:space="0"/>
            </w:tcBorders>
            <w:vAlign w:val="center"/>
          </w:tcPr>
          <w:p>
            <w:pPr>
              <w:snapToGrid w:val="0"/>
              <w:jc w:val="left"/>
              <w:rPr>
                <w:rFonts w:ascii="Times New Roman" w:hAnsi="Times New Roman" w:eastAsia="仿宋_GB2312"/>
                <w:sz w:val="24"/>
                <w:szCs w:val="24"/>
              </w:rPr>
            </w:pPr>
            <w:r>
              <w:rPr>
                <w:rFonts w:ascii="Times New Roman" w:hAnsi="Times New Roman" w:eastAsia="仿宋_GB2312"/>
                <w:sz w:val="24"/>
                <w:szCs w:val="24"/>
              </w:rPr>
              <w:t>未见餐厨垃圾收集处置信息定期向社会公示，扣0.5分。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895" w:hRule="atLeast"/>
          <w:jc w:val="center"/>
        </w:trPr>
        <w:tc>
          <w:tcPr>
            <w:tcW w:w="1512" w:type="dxa"/>
            <w:vMerge w:val="continue"/>
            <w:vAlign w:val="center"/>
          </w:tcPr>
          <w:p>
            <w:pPr>
              <w:spacing w:line="240" w:lineRule="exact"/>
              <w:jc w:val="center"/>
              <w:rPr>
                <w:rFonts w:ascii="Times New Roman" w:hAnsi="Times New Roman" w:eastAsia="仿宋_GB2312"/>
                <w:sz w:val="24"/>
                <w:szCs w:val="24"/>
              </w:rPr>
            </w:pPr>
          </w:p>
        </w:tc>
        <w:tc>
          <w:tcPr>
            <w:tcW w:w="4090" w:type="dxa"/>
            <w:vMerge w:val="continue"/>
            <w:vAlign w:val="center"/>
          </w:tcPr>
          <w:p>
            <w:pPr>
              <w:jc w:val="left"/>
              <w:rPr>
                <w:rFonts w:ascii="Times New Roman" w:hAnsi="Times New Roman" w:eastAsia="仿宋_GB2312"/>
                <w:sz w:val="24"/>
                <w:szCs w:val="24"/>
              </w:rPr>
            </w:pPr>
          </w:p>
        </w:tc>
        <w:tc>
          <w:tcPr>
            <w:tcW w:w="4592" w:type="dxa"/>
            <w:tcBorders>
              <w:top w:val="single" w:color="auto" w:sz="6" w:space="0"/>
            </w:tcBorders>
            <w:vAlign w:val="center"/>
          </w:tcPr>
          <w:p>
            <w:pPr>
              <w:snapToGrid w:val="0"/>
              <w:jc w:val="left"/>
              <w:rPr>
                <w:rFonts w:ascii="Times New Roman" w:hAnsi="Times New Roman" w:eastAsia="仿宋_GB2312"/>
                <w:sz w:val="24"/>
                <w:szCs w:val="24"/>
              </w:rPr>
            </w:pPr>
            <w:r>
              <w:rPr>
                <w:rFonts w:ascii="Times New Roman" w:hAnsi="Times New Roman" w:eastAsia="仿宋_GB2312"/>
                <w:sz w:val="24"/>
                <w:szCs w:val="24"/>
              </w:rPr>
              <w:t>未公示信息，或者公示信息不全的，扣0.5分。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1048" w:hRule="atLeast"/>
          <w:jc w:val="center"/>
        </w:trPr>
        <w:tc>
          <w:tcPr>
            <w:tcW w:w="1512" w:type="dxa"/>
            <w:vMerge w:val="continue"/>
            <w:vAlign w:val="center"/>
          </w:tcPr>
          <w:p>
            <w:pPr>
              <w:spacing w:line="240" w:lineRule="exact"/>
              <w:jc w:val="center"/>
              <w:rPr>
                <w:rFonts w:ascii="Times New Roman" w:hAnsi="Times New Roman" w:eastAsia="黑体"/>
                <w:sz w:val="24"/>
                <w:szCs w:val="24"/>
              </w:rPr>
            </w:pPr>
          </w:p>
        </w:tc>
        <w:tc>
          <w:tcPr>
            <w:tcW w:w="4090" w:type="dxa"/>
            <w:vMerge w:val="continue"/>
            <w:tcBorders>
              <w:top w:val="single" w:color="auto" w:sz="6" w:space="0"/>
            </w:tcBorders>
            <w:vAlign w:val="center"/>
          </w:tcPr>
          <w:p>
            <w:pPr>
              <w:jc w:val="left"/>
              <w:rPr>
                <w:rFonts w:ascii="Times New Roman" w:hAnsi="Times New Roman" w:eastAsia="仿宋_GB2312"/>
                <w:sz w:val="24"/>
                <w:szCs w:val="24"/>
              </w:rPr>
            </w:pPr>
          </w:p>
        </w:tc>
        <w:tc>
          <w:tcPr>
            <w:tcW w:w="4592" w:type="dxa"/>
            <w:tcBorders>
              <w:top w:val="single" w:color="auto" w:sz="6" w:space="0"/>
            </w:tcBorders>
            <w:vAlign w:val="center"/>
          </w:tcPr>
          <w:p>
            <w:pPr>
              <w:widowControl/>
              <w:jc w:val="left"/>
              <w:rPr>
                <w:rFonts w:ascii="Times New Roman" w:hAnsi="Times New Roman" w:eastAsia="仿宋_GB2312"/>
                <w:sz w:val="24"/>
                <w:szCs w:val="24"/>
              </w:rPr>
            </w:pPr>
            <w:r>
              <w:rPr>
                <w:rFonts w:ascii="Times New Roman" w:hAnsi="Times New Roman" w:eastAsia="仿宋_GB2312"/>
                <w:sz w:val="24"/>
                <w:szCs w:val="24"/>
              </w:rPr>
              <w:t>未在显著位置悬挂营业执照或食品经营许可证的，扣0.5分。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1183" w:hRule="atLeast"/>
          <w:jc w:val="center"/>
        </w:trPr>
        <w:tc>
          <w:tcPr>
            <w:tcW w:w="1512" w:type="dxa"/>
            <w:vMerge w:val="continue"/>
            <w:vAlign w:val="center"/>
          </w:tcPr>
          <w:p>
            <w:pPr>
              <w:spacing w:line="240" w:lineRule="exact"/>
              <w:jc w:val="center"/>
              <w:rPr>
                <w:rFonts w:ascii="Times New Roman" w:hAnsi="Times New Roman" w:eastAsia="仿宋_GB2312"/>
                <w:sz w:val="24"/>
                <w:szCs w:val="24"/>
              </w:rPr>
            </w:pPr>
          </w:p>
        </w:tc>
        <w:tc>
          <w:tcPr>
            <w:tcW w:w="4090" w:type="dxa"/>
            <w:vMerge w:val="restart"/>
            <w:vAlign w:val="center"/>
          </w:tcPr>
          <w:p>
            <w:pPr>
              <w:widowControl/>
              <w:jc w:val="left"/>
              <w:rPr>
                <w:rFonts w:ascii="Times New Roman" w:hAnsi="Times New Roman" w:eastAsia="仿宋_GB2312"/>
                <w:sz w:val="24"/>
                <w:szCs w:val="24"/>
              </w:rPr>
            </w:pPr>
            <w:r>
              <w:rPr>
                <w:rFonts w:ascii="Times New Roman" w:hAnsi="Times New Roman" w:eastAsia="仿宋_GB2312"/>
                <w:sz w:val="24"/>
                <w:szCs w:val="24"/>
              </w:rPr>
              <w:t>（69）网络订餐第三方平台落实食品安全自查制度，对入网餐饮服务经营者进行实名登记、入网审查、信息公示和抽查监测等，得2分；否则相应扣分。</w:t>
            </w:r>
          </w:p>
          <w:p>
            <w:pPr>
              <w:widowControl/>
              <w:jc w:val="left"/>
              <w:rPr>
                <w:rFonts w:ascii="Times New Roman" w:hAnsi="Times New Roman" w:eastAsia="仿宋_GB2312"/>
                <w:sz w:val="24"/>
                <w:szCs w:val="24"/>
              </w:rPr>
            </w:pPr>
            <w:r>
              <w:rPr>
                <w:rFonts w:ascii="Times New Roman" w:hAnsi="Times New Roman" w:eastAsia="仿宋_GB2312"/>
                <w:sz w:val="24"/>
                <w:szCs w:val="24"/>
              </w:rPr>
              <w:t>完善网络订餐在线投诉和售后维权机制，得2分；否则不得分。</w:t>
            </w:r>
          </w:p>
          <w:p>
            <w:pPr>
              <w:widowControl/>
              <w:ind w:firstLine="480" w:firstLineChars="200"/>
              <w:jc w:val="left"/>
              <w:rPr>
                <w:rFonts w:ascii="Times New Roman" w:hAnsi="Times New Roman" w:eastAsia="仿宋_GB2312"/>
                <w:sz w:val="24"/>
                <w:szCs w:val="24"/>
              </w:rPr>
            </w:pPr>
            <w:r>
              <w:rPr>
                <w:rFonts w:ascii="Times New Roman" w:hAnsi="Times New Roman" w:eastAsia="仿宋_GB2312"/>
                <w:sz w:val="24"/>
                <w:szCs w:val="24"/>
              </w:rPr>
              <w:t>严格落实广告发布责任和要求，得2分；否则不得分。</w:t>
            </w:r>
          </w:p>
        </w:tc>
        <w:tc>
          <w:tcPr>
            <w:tcW w:w="4592" w:type="dxa"/>
            <w:tcBorders>
              <w:top w:val="single" w:color="auto" w:sz="6" w:space="0"/>
            </w:tcBorders>
            <w:vAlign w:val="center"/>
          </w:tcPr>
          <w:p>
            <w:pPr>
              <w:widowControl/>
              <w:jc w:val="left"/>
              <w:rPr>
                <w:rFonts w:ascii="Times New Roman" w:hAnsi="Times New Roman" w:eastAsia="仿宋_GB2312"/>
                <w:sz w:val="24"/>
                <w:szCs w:val="24"/>
              </w:rPr>
            </w:pPr>
            <w:r>
              <w:rPr>
                <w:rFonts w:ascii="Times New Roman" w:hAnsi="Times New Roman" w:eastAsia="仿宋_GB2312"/>
                <w:sz w:val="24"/>
                <w:szCs w:val="24"/>
              </w:rPr>
              <w:t>网络订餐第三方平台入网餐饮服务经营者的食品经营许可证登记信息与实际不一致，或超范围经营，扣0.5分。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59" w:hRule="atLeast"/>
          <w:jc w:val="center"/>
        </w:trPr>
        <w:tc>
          <w:tcPr>
            <w:tcW w:w="1512" w:type="dxa"/>
            <w:vMerge w:val="continue"/>
            <w:vAlign w:val="center"/>
          </w:tcPr>
          <w:p>
            <w:pPr>
              <w:spacing w:line="240" w:lineRule="exact"/>
              <w:jc w:val="center"/>
              <w:rPr>
                <w:rFonts w:ascii="Times New Roman" w:hAnsi="Times New Roman" w:eastAsia="仿宋_GB2312"/>
                <w:sz w:val="24"/>
                <w:szCs w:val="24"/>
              </w:rPr>
            </w:pPr>
          </w:p>
        </w:tc>
        <w:tc>
          <w:tcPr>
            <w:tcW w:w="4090" w:type="dxa"/>
            <w:vMerge w:val="continue"/>
            <w:vAlign w:val="center"/>
          </w:tcPr>
          <w:p>
            <w:pPr>
              <w:jc w:val="left"/>
              <w:rPr>
                <w:rFonts w:ascii="Times New Roman" w:hAnsi="Times New Roman" w:eastAsia="仿宋_GB2312"/>
                <w:sz w:val="24"/>
                <w:szCs w:val="24"/>
              </w:rPr>
            </w:pPr>
          </w:p>
        </w:tc>
        <w:tc>
          <w:tcPr>
            <w:tcW w:w="4592" w:type="dxa"/>
            <w:tcBorders>
              <w:top w:val="single" w:color="auto" w:sz="6" w:space="0"/>
            </w:tcBorders>
            <w:vAlign w:val="center"/>
          </w:tcPr>
          <w:p>
            <w:pPr>
              <w:widowControl/>
              <w:rPr>
                <w:rFonts w:ascii="Times New Roman" w:hAnsi="Times New Roman" w:eastAsia="仿宋_GB2312"/>
                <w:sz w:val="24"/>
                <w:szCs w:val="24"/>
              </w:rPr>
            </w:pPr>
            <w:r>
              <w:rPr>
                <w:rFonts w:ascii="Times New Roman" w:hAnsi="Times New Roman" w:eastAsia="仿宋_GB2312"/>
                <w:sz w:val="24"/>
                <w:szCs w:val="24"/>
              </w:rPr>
              <w:t>拨打网络订餐第三方平台投诉电话，在线投诉渠道不畅通的，扣0.5分。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6" w:hRule="atLeast"/>
          <w:jc w:val="center"/>
        </w:trPr>
        <w:tc>
          <w:tcPr>
            <w:tcW w:w="1512" w:type="dxa"/>
            <w:vMerge w:val="continue"/>
            <w:vAlign w:val="center"/>
          </w:tcPr>
          <w:p>
            <w:pPr>
              <w:keepNext/>
              <w:keepLines/>
              <w:spacing w:before="260" w:after="260" w:line="240" w:lineRule="exact"/>
              <w:jc w:val="center"/>
              <w:rPr>
                <w:rFonts w:ascii="Times New Roman" w:hAnsi="Times New Roman" w:eastAsia="仿宋_GB2312"/>
                <w:sz w:val="24"/>
                <w:szCs w:val="24"/>
              </w:rPr>
            </w:pPr>
          </w:p>
        </w:tc>
        <w:tc>
          <w:tcPr>
            <w:tcW w:w="4090" w:type="dxa"/>
            <w:vMerge w:val="continue"/>
            <w:vAlign w:val="center"/>
          </w:tcPr>
          <w:p>
            <w:pPr>
              <w:keepNext/>
              <w:keepLines/>
              <w:spacing w:before="260" w:after="260"/>
              <w:jc w:val="left"/>
              <w:rPr>
                <w:rFonts w:ascii="Times New Roman" w:hAnsi="Times New Roman" w:eastAsia="仿宋_GB2312"/>
                <w:sz w:val="24"/>
                <w:szCs w:val="24"/>
              </w:rPr>
            </w:pPr>
          </w:p>
        </w:tc>
        <w:tc>
          <w:tcPr>
            <w:tcW w:w="4592" w:type="dxa"/>
            <w:tcBorders>
              <w:top w:val="single" w:color="auto" w:sz="6" w:space="0"/>
            </w:tcBorders>
            <w:vAlign w:val="center"/>
          </w:tcPr>
          <w:p>
            <w:pPr>
              <w:rPr>
                <w:rFonts w:ascii="Times New Roman" w:hAnsi="Times New Roman" w:eastAsia="仿宋_GB2312"/>
                <w:sz w:val="24"/>
                <w:szCs w:val="24"/>
              </w:rPr>
            </w:pPr>
            <w:r>
              <w:rPr>
                <w:rFonts w:ascii="Times New Roman" w:hAnsi="Times New Roman" w:eastAsia="仿宋_GB2312"/>
                <w:sz w:val="24"/>
                <w:szCs w:val="24"/>
              </w:rPr>
              <w:t>未严格落实广告发布责任，存在发布虚假违法广告等行为的，扣0.5分。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bl>
    <w:p>
      <w:pPr>
        <w:spacing w:beforeLines="50" w:line="360" w:lineRule="exact"/>
        <w:jc w:val="left"/>
        <w:rPr>
          <w:rFonts w:hint="default" w:ascii="Times New Roman" w:hAnsi="Times New Roman" w:eastAsia="楷体_GB2312"/>
          <w:sz w:val="24"/>
          <w:szCs w:val="24"/>
          <w:lang w:val="en-US" w:eastAsia="zh-CN"/>
        </w:rPr>
      </w:pPr>
      <w:r>
        <w:rPr>
          <w:rFonts w:hint="eastAsia" w:ascii="Times New Roman" w:hAnsi="Times New Roman" w:eastAsia="楷体_GB2312"/>
          <w:sz w:val="24"/>
          <w:szCs w:val="24"/>
          <w:lang w:val="en-US" w:eastAsia="zh-CN"/>
        </w:rPr>
        <w:t xml:space="preserve">检查人员签字：                                               </w:t>
      </w:r>
      <w:bookmarkStart w:id="0" w:name="_GoBack"/>
      <w:bookmarkEnd w:id="0"/>
    </w:p>
    <w:sectPr>
      <w:footerReference r:id="rId3" w:type="default"/>
      <w:pgSz w:w="16838" w:h="11906" w:orient="landscape"/>
      <w:pgMar w:top="1179" w:right="1440" w:bottom="1179"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6731D6"/>
    <w:rsid w:val="0B705F30"/>
    <w:rsid w:val="451C0458"/>
    <w:rsid w:val="49046A73"/>
    <w:rsid w:val="6CD60491"/>
    <w:rsid w:val="70EF01E1"/>
    <w:rsid w:val="76FE3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semiHidden/>
    <w:qFormat/>
    <w:uiPriority w:val="0"/>
    <w:pPr>
      <w:ind w:firstLine="420" w:firstLineChars="200"/>
    </w:pPr>
  </w:style>
  <w:style w:type="paragraph" w:styleId="3">
    <w:name w:val="Body Text Indent"/>
    <w:basedOn w:val="1"/>
    <w:semiHidden/>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Administrator.SC-201902141428</dc:creator>
  <cp:lastModifiedBy>~阳光D海岸~</cp:lastModifiedBy>
  <dcterms:modified xsi:type="dcterms:W3CDTF">2021-09-01T14:14:03Z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949D40B8F0424EB4BD8DE592FC7D9B03</vt:lpwstr>
  </property>
</Properties>
</file>