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黑体"/>
          <w:sz w:val="36"/>
          <w:szCs w:val="36"/>
        </w:rPr>
        <w:t>食用农产品批发市场明查打分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662"/>
        <w:gridCol w:w="5020"/>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662"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020"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widowControl/>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662"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502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662"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020"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13"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662"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02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未健全食品安全管理制度，设置食品质量安全管理岗位，扣0.5分。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662" w:type="dxa"/>
            <w:vMerge w:val="continue"/>
            <w:vAlign w:val="center"/>
          </w:tcPr>
          <w:p>
            <w:pPr>
              <w:jc w:val="left"/>
              <w:rPr>
                <w:rFonts w:ascii="Times New Roman" w:hAnsi="Times New Roman" w:eastAsia="仿宋_GB2312"/>
                <w:sz w:val="24"/>
                <w:szCs w:val="24"/>
              </w:rPr>
            </w:pPr>
          </w:p>
        </w:tc>
        <w:tc>
          <w:tcPr>
            <w:tcW w:w="502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未体现食品质量安全管理投入，扣0.5分。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112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662"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02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662" w:type="dxa"/>
            <w:vMerge w:val="continue"/>
            <w:vAlign w:val="center"/>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snapToGrid w:val="0"/>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widowControl/>
              <w:spacing w:line="240" w:lineRule="exact"/>
              <w:jc w:val="center"/>
              <w:rPr>
                <w:rFonts w:ascii="Times New Roman" w:hAnsi="Times New Roman" w:eastAsia="黑体"/>
                <w:sz w:val="24"/>
                <w:szCs w:val="24"/>
              </w:rPr>
            </w:pPr>
            <w:r>
              <w:rPr>
                <w:rFonts w:ascii="Times New Roman" w:hAnsi="Times New Roman" w:eastAsia="仿宋_GB2312"/>
                <w:sz w:val="24"/>
                <w:szCs w:val="24"/>
              </w:rPr>
              <w:t>20.过程控制</w:t>
            </w:r>
          </w:p>
        </w:tc>
        <w:tc>
          <w:tcPr>
            <w:tcW w:w="3662" w:type="dxa"/>
            <w:vMerge w:val="restart"/>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67）食用农产品集中交易市场开办者落实食品安全管理责任，建立健全食品安全管理制度，履行入场销售者登记、市场自查、信息公示、督促入场销售者依法依规从事销售活动等管理责任，得3分；否则相应扣分。</w:t>
            </w:r>
          </w:p>
        </w:tc>
        <w:tc>
          <w:tcPr>
            <w:tcW w:w="5020"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管理制度未对外公示的，扣0.5分。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widowControl/>
              <w:spacing w:before="260" w:after="260" w:line="240" w:lineRule="exact"/>
              <w:jc w:val="center"/>
              <w:rPr>
                <w:rFonts w:ascii="Times New Roman" w:hAnsi="Times New Roman" w:eastAsia="仿宋_GB2312"/>
                <w:sz w:val="24"/>
                <w:szCs w:val="24"/>
              </w:rPr>
            </w:pPr>
          </w:p>
        </w:tc>
        <w:tc>
          <w:tcPr>
            <w:tcW w:w="3662" w:type="dxa"/>
            <w:vMerge w:val="continue"/>
            <w:vAlign w:val="center"/>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市场开办方及场内经营户证照未公示的，扣0.5分。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widowControl/>
              <w:spacing w:before="260" w:after="260" w:line="240" w:lineRule="exact"/>
              <w:jc w:val="center"/>
              <w:rPr>
                <w:rFonts w:ascii="Times New Roman" w:hAnsi="Times New Roman" w:eastAsia="仿宋_GB2312"/>
                <w:sz w:val="24"/>
                <w:szCs w:val="24"/>
              </w:rPr>
            </w:pPr>
          </w:p>
        </w:tc>
        <w:tc>
          <w:tcPr>
            <w:tcW w:w="3662" w:type="dxa"/>
            <w:vMerge w:val="continue"/>
            <w:vAlign w:val="center"/>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市场开办者未依法全面落实食品安全管理责任，在规定时限内向所在地县级市场监管部门报告，扣0.5分。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keepNext/>
              <w:keepLines/>
              <w:widowControl/>
              <w:spacing w:before="260" w:after="260" w:line="240" w:lineRule="exact"/>
              <w:jc w:val="center"/>
              <w:rPr>
                <w:rFonts w:ascii="Times New Roman" w:hAnsi="Times New Roman" w:eastAsia="仿宋_GB2312"/>
                <w:sz w:val="24"/>
                <w:szCs w:val="24"/>
              </w:rPr>
            </w:pPr>
          </w:p>
        </w:tc>
        <w:tc>
          <w:tcPr>
            <w:tcW w:w="3662" w:type="dxa"/>
            <w:vMerge w:val="continue"/>
            <w:vAlign w:val="center"/>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rPr>
                <w:rFonts w:ascii="Times New Roman" w:hAnsi="Times New Roman" w:eastAsia="仿宋_GB2312"/>
                <w:sz w:val="24"/>
                <w:szCs w:val="24"/>
              </w:rPr>
            </w:pPr>
            <w:r>
              <w:rPr>
                <w:rFonts w:ascii="Times New Roman" w:hAnsi="Times New Roman" w:eastAsia="仿宋_GB2312"/>
                <w:sz w:val="24"/>
                <w:szCs w:val="24"/>
              </w:rPr>
              <w:t>市场开办者未建立健全食品安全管理制度，未依法履行入场销售者登记、市场自查、信息公示、食品安全违法行为制止及报告、食品安全事故处置、投诉举报处置等主体责任，扣0.5分。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keepNext/>
              <w:keepLines/>
              <w:widowControl/>
              <w:spacing w:before="260" w:after="260" w:line="240" w:lineRule="exact"/>
              <w:jc w:val="center"/>
              <w:rPr>
                <w:rFonts w:ascii="Times New Roman" w:hAnsi="Times New Roman" w:eastAsia="仿宋_GB2312"/>
                <w:sz w:val="24"/>
                <w:szCs w:val="24"/>
              </w:rPr>
            </w:pPr>
          </w:p>
        </w:tc>
        <w:tc>
          <w:tcPr>
            <w:tcW w:w="3662" w:type="dxa"/>
            <w:vMerge w:val="continue"/>
            <w:vAlign w:val="center"/>
          </w:tcPr>
          <w:p>
            <w:pPr>
              <w:keepNext/>
              <w:keepLines/>
              <w:widowControl/>
              <w:spacing w:before="260" w:after="260"/>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存在食用农产品与非食用农产品混放、食用农产品未分区销售行为，扣0.5分。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662" w:type="dxa"/>
            <w:vMerge w:val="continue"/>
            <w:vAlign w:val="center"/>
          </w:tcPr>
          <w:p>
            <w:pPr>
              <w:widowControl/>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存在食用农产品销售场所未按要求公布食用农产品相关信息的，扣0.5分。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662" w:type="dxa"/>
            <w:vMerge w:val="continue"/>
            <w:vAlign w:val="center"/>
          </w:tcPr>
          <w:p>
            <w:pPr>
              <w:widowControl/>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存在销售禁止销售食用农产品等违法违规行为，扣0.5分。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662" w:type="dxa"/>
            <w:vMerge w:val="continue"/>
            <w:vAlign w:val="center"/>
          </w:tcPr>
          <w:p>
            <w:pPr>
              <w:widowControl/>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未开展定期消杀防疫作业，扣0.5分。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662" w:type="dxa"/>
            <w:vMerge w:val="continue"/>
            <w:vAlign w:val="center"/>
          </w:tcPr>
          <w:p>
            <w:pPr>
              <w:widowControl/>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黑体"/>
                <w:sz w:val="24"/>
                <w:szCs w:val="24"/>
              </w:rPr>
            </w:pPr>
            <w:r>
              <w:rPr>
                <w:rFonts w:ascii="Times New Roman" w:hAnsi="Times New Roman" w:eastAsia="仿宋_GB2312"/>
                <w:sz w:val="24"/>
                <w:szCs w:val="24"/>
              </w:rPr>
              <w:t>采购、销售来源不明的进口冷链食品，扣0.5分。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662" w:type="dxa"/>
            <w:vMerge w:val="continue"/>
            <w:vAlign w:val="center"/>
          </w:tcPr>
          <w:p>
            <w:pPr>
              <w:widowControl/>
              <w:jc w:val="center"/>
              <w:rPr>
                <w:rFonts w:ascii="Times New Roman" w:hAnsi="Times New Roman" w:eastAsia="仿宋_GB2312"/>
                <w:sz w:val="24"/>
                <w:szCs w:val="24"/>
              </w:rPr>
            </w:pPr>
          </w:p>
        </w:tc>
        <w:tc>
          <w:tcPr>
            <w:tcW w:w="5020" w:type="dxa"/>
            <w:tcBorders>
              <w:top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经营区域未做到干湿分离，扣0.5分。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widowControl/>
              <w:spacing w:line="240" w:lineRule="exact"/>
              <w:jc w:val="center"/>
              <w:rPr>
                <w:rFonts w:ascii="Times New Roman" w:hAnsi="Times New Roman" w:eastAsia="仿宋_GB2312"/>
                <w:sz w:val="24"/>
                <w:szCs w:val="24"/>
              </w:rPr>
            </w:pPr>
          </w:p>
        </w:tc>
        <w:tc>
          <w:tcPr>
            <w:tcW w:w="3662" w:type="dxa"/>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（68）食品销售连锁企业总部、大型食品批发企业、食品批发市场开办者建立并落实食品安全自查制度，自查报告率达到100%，得3分；否则不得分。</w:t>
            </w:r>
          </w:p>
        </w:tc>
        <w:tc>
          <w:tcPr>
            <w:tcW w:w="5020" w:type="dxa"/>
            <w:tcBorders>
              <w:top w:val="single" w:color="auto" w:sz="6" w:space="0"/>
              <w:bottom w:val="single" w:color="auto" w:sz="6" w:space="0"/>
            </w:tcBorders>
            <w:vAlign w:val="center"/>
          </w:tcPr>
          <w:p>
            <w:pPr>
              <w:widowControl/>
              <w:rPr>
                <w:rFonts w:ascii="Times New Roman" w:hAnsi="Times New Roman" w:eastAsia="黑体"/>
                <w:sz w:val="24"/>
                <w:szCs w:val="24"/>
              </w:rPr>
            </w:pPr>
            <w:r>
              <w:rPr>
                <w:rFonts w:ascii="Times New Roman" w:hAnsi="Times New Roman" w:eastAsia="仿宋_GB2312"/>
                <w:sz w:val="24"/>
                <w:szCs w:val="28"/>
              </w:rPr>
              <w:t>未按规定落实食品安全自查制度，未定期开展食品安全自查，自查报告率未达到100%，扣3分。</w:t>
            </w:r>
          </w:p>
        </w:tc>
        <w:tc>
          <w:tcPr>
            <w:tcW w:w="995"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widowControl/>
              <w:spacing w:line="280" w:lineRule="exac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bookmarkStart w:id="0" w:name="_GoBack"/>
      <w:bookmarkEnd w:id="0"/>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2.“（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451C0458"/>
    <w:rsid w:val="49046A73"/>
    <w:rsid w:val="6F743130"/>
    <w:rsid w:val="70E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~阳光D海岸~</cp:lastModifiedBy>
  <dcterms:modified xsi:type="dcterms:W3CDTF">2021-08-11T09:18:38Z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949D40B8F0424EB4BD8DE592FC7D9B03</vt:lpwstr>
  </property>
</Properties>
</file>