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imes New Roman" w:hAnsi="Times New Roman" w:eastAsia="方正小标宋简体"/>
          <w:sz w:val="36"/>
          <w:szCs w:val="36"/>
        </w:rPr>
      </w:pPr>
      <w:bookmarkStart w:id="0" w:name="_GoBack"/>
      <w:bookmarkEnd w:id="0"/>
      <w:r>
        <w:rPr>
          <w:rFonts w:hint="eastAsia" w:ascii="Times New Roman" w:hAnsi="Times New Roman" w:eastAsia="方正小标宋简体"/>
          <w:sz w:val="36"/>
          <w:szCs w:val="36"/>
        </w:rPr>
        <w:t>中小学校、幼儿园食堂</w:t>
      </w:r>
      <w:r>
        <w:rPr>
          <w:rFonts w:ascii="Times New Roman" w:hAnsi="Times New Roman" w:eastAsia="方正小标宋简体"/>
          <w:sz w:val="36"/>
          <w:szCs w:val="36"/>
        </w:rPr>
        <w:t>明查打分</w:t>
      </w:r>
      <w:r>
        <w:rPr>
          <w:rFonts w:hint="eastAsia" w:ascii="Times New Roman" w:hAnsi="Times New Roman" w:eastAsia="方正小标宋简体"/>
          <w:sz w:val="36"/>
          <w:szCs w:val="36"/>
        </w:rPr>
        <w:t>表</w:t>
      </w:r>
    </w:p>
    <w:p>
      <w:pPr>
        <w:pStyle w:val="2"/>
        <w:spacing w:line="280" w:lineRule="exact"/>
        <w:ind w:left="0" w:leftChars="0" w:firstLine="0" w:firstLineChars="0"/>
        <w:jc w:val="left"/>
        <w:rPr>
          <w:rFonts w:hint="default" w:ascii="Times New Roman" w:hAnsi="Times New Roman" w:eastAsia="仿宋_GB2312"/>
          <w:sz w:val="28"/>
          <w:szCs w:val="28"/>
          <w:lang w:val="en-US" w:eastAsia="zh-CN"/>
        </w:rPr>
      </w:pPr>
      <w:r>
        <w:rPr>
          <w:rFonts w:hint="eastAsia" w:ascii="Times New Roman" w:hAnsi="Times New Roman" w:eastAsia="仿宋_GB2312"/>
          <w:sz w:val="24"/>
          <w:szCs w:val="24"/>
          <w:lang w:val="en-US" w:eastAsia="zh-CN"/>
        </w:rPr>
        <w:t>被检查单位：                                             所属街道：                      检查日期：</w:t>
      </w:r>
    </w:p>
    <w:tbl>
      <w:tblPr>
        <w:tblStyle w:val="6"/>
        <w:tblW w:w="14255" w:type="dxa"/>
        <w:jc w:val="center"/>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Layout w:type="fixed"/>
        <w:tblCellMar>
          <w:top w:w="0" w:type="dxa"/>
          <w:left w:w="108" w:type="dxa"/>
          <w:bottom w:w="0" w:type="dxa"/>
          <w:right w:w="108" w:type="dxa"/>
        </w:tblCellMar>
      </w:tblPr>
      <w:tblGrid>
        <w:gridCol w:w="1512"/>
        <w:gridCol w:w="3258"/>
        <w:gridCol w:w="5424"/>
        <w:gridCol w:w="995"/>
        <w:gridCol w:w="3066"/>
      </w:tblGrid>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481" w:hRule="atLeast"/>
          <w:tblHeader/>
          <w:jc w:val="center"/>
        </w:trPr>
        <w:tc>
          <w:tcPr>
            <w:tcW w:w="1512" w:type="dxa"/>
            <w:tcBorders>
              <w:top w:val="single" w:color="auto" w:sz="6" w:space="0"/>
            </w:tcBorders>
            <w:shd w:val="clear" w:color="auto" w:fill="BDD6EE" w:themeFill="accent1" w:themeFillTint="66"/>
            <w:vAlign w:val="center"/>
          </w:tcPr>
          <w:p>
            <w:pPr>
              <w:pStyle w:val="2"/>
              <w:spacing w:line="280" w:lineRule="exact"/>
              <w:ind w:left="0" w:leftChars="0" w:firstLine="0" w:firstLineChars="0"/>
              <w:jc w:val="center"/>
              <w:rPr>
                <w:rFonts w:ascii="Times New Roman" w:hAnsi="Times New Roman"/>
                <w:sz w:val="24"/>
                <w:szCs w:val="24"/>
              </w:rPr>
            </w:pPr>
            <w:r>
              <w:rPr>
                <w:rFonts w:ascii="Times New Roman" w:hAnsi="Times New Roman" w:eastAsia="黑体"/>
                <w:sz w:val="24"/>
                <w:szCs w:val="24"/>
              </w:rPr>
              <w:t>评价要点</w:t>
            </w:r>
          </w:p>
        </w:tc>
        <w:tc>
          <w:tcPr>
            <w:tcW w:w="3258" w:type="dxa"/>
            <w:tcBorders>
              <w:top w:val="single" w:color="auto" w:sz="6" w:space="0"/>
            </w:tcBorders>
            <w:shd w:val="clear" w:color="auto" w:fill="BDD6EE" w:themeFill="accent1" w:themeFillTint="66"/>
            <w:vAlign w:val="center"/>
          </w:tcPr>
          <w:p>
            <w:pPr>
              <w:jc w:val="center"/>
              <w:rPr>
                <w:rFonts w:ascii="Times New Roman" w:hAnsi="Times New Roman" w:eastAsia="黑体"/>
                <w:sz w:val="24"/>
                <w:szCs w:val="24"/>
              </w:rPr>
            </w:pPr>
            <w:r>
              <w:rPr>
                <w:rFonts w:ascii="Times New Roman" w:hAnsi="Times New Roman" w:eastAsia="黑体"/>
                <w:sz w:val="24"/>
                <w:szCs w:val="24"/>
              </w:rPr>
              <w:t>对应检查内容及分值</w:t>
            </w:r>
          </w:p>
          <w:p>
            <w:pPr>
              <w:spacing w:line="280" w:lineRule="exact"/>
              <w:jc w:val="center"/>
              <w:rPr>
                <w:rFonts w:ascii="Times New Roman" w:hAnsi="Times New Roman" w:eastAsia="黑体"/>
                <w:sz w:val="24"/>
                <w:szCs w:val="24"/>
              </w:rPr>
            </w:pPr>
            <w:r>
              <w:rPr>
                <w:rFonts w:ascii="Times New Roman" w:hAnsi="Times New Roman" w:eastAsia="黑体"/>
                <w:sz w:val="24"/>
                <w:szCs w:val="24"/>
              </w:rPr>
              <w:t>（单项扣完为止）</w:t>
            </w:r>
          </w:p>
        </w:tc>
        <w:tc>
          <w:tcPr>
            <w:tcW w:w="5424" w:type="dxa"/>
            <w:tcBorders>
              <w:top w:val="single" w:color="auto" w:sz="6" w:space="0"/>
            </w:tcBorders>
            <w:shd w:val="clear" w:color="auto" w:fill="BDD6EE" w:themeFill="accent1" w:themeFillTint="66"/>
            <w:vAlign w:val="center"/>
          </w:tcPr>
          <w:p>
            <w:pPr>
              <w:spacing w:line="280" w:lineRule="exact"/>
              <w:jc w:val="center"/>
              <w:rPr>
                <w:rFonts w:ascii="Times New Roman" w:hAnsi="Times New Roman" w:eastAsia="黑体"/>
                <w:sz w:val="24"/>
                <w:szCs w:val="24"/>
              </w:rPr>
            </w:pPr>
            <w:r>
              <w:rPr>
                <w:rFonts w:ascii="Times New Roman" w:hAnsi="Times New Roman" w:eastAsia="黑体"/>
                <w:sz w:val="24"/>
                <w:szCs w:val="24"/>
              </w:rPr>
              <w:t>评分标准</w:t>
            </w:r>
          </w:p>
        </w:tc>
        <w:tc>
          <w:tcPr>
            <w:tcW w:w="995" w:type="dxa"/>
            <w:tcBorders>
              <w:top w:val="single" w:color="auto" w:sz="6" w:space="0"/>
            </w:tcBorders>
            <w:shd w:val="clear" w:color="auto" w:fill="BDD6EE" w:themeFill="accent1" w:themeFillTint="66"/>
            <w:vAlign w:val="center"/>
          </w:tcPr>
          <w:p>
            <w:pPr>
              <w:spacing w:line="280" w:lineRule="exact"/>
              <w:jc w:val="center"/>
              <w:rPr>
                <w:rFonts w:hint="default" w:ascii="Times New Roman" w:hAnsi="Times New Roman" w:eastAsia="黑体"/>
                <w:sz w:val="24"/>
                <w:szCs w:val="24"/>
                <w:lang w:val="en-US" w:eastAsia="zh-CN"/>
              </w:rPr>
            </w:pPr>
            <w:r>
              <w:rPr>
                <w:rFonts w:hint="eastAsia" w:ascii="Times New Roman" w:hAnsi="Times New Roman" w:eastAsia="黑体"/>
                <w:sz w:val="24"/>
                <w:szCs w:val="24"/>
                <w:lang w:val="en-US" w:eastAsia="zh-CN"/>
              </w:rPr>
              <w:t>扣分数</w:t>
            </w:r>
          </w:p>
        </w:tc>
        <w:tc>
          <w:tcPr>
            <w:tcW w:w="3066" w:type="dxa"/>
            <w:tcBorders>
              <w:top w:val="single" w:color="auto" w:sz="6" w:space="0"/>
            </w:tcBorders>
            <w:shd w:val="clear" w:color="auto" w:fill="BDD6EE" w:themeFill="accent1" w:themeFillTint="66"/>
            <w:vAlign w:val="center"/>
          </w:tcPr>
          <w:p>
            <w:pPr>
              <w:spacing w:line="280" w:lineRule="exact"/>
              <w:jc w:val="center"/>
              <w:rPr>
                <w:rFonts w:hint="default" w:ascii="Times New Roman" w:hAnsi="Times New Roman" w:eastAsia="黑体"/>
                <w:sz w:val="24"/>
                <w:szCs w:val="24"/>
                <w:lang w:val="en-US" w:eastAsia="zh-CN"/>
              </w:rPr>
            </w:pPr>
            <w:r>
              <w:rPr>
                <w:rFonts w:hint="eastAsia" w:ascii="Times New Roman" w:hAnsi="Times New Roman" w:eastAsia="黑体"/>
                <w:sz w:val="24"/>
                <w:szCs w:val="24"/>
                <w:lang w:val="en-US" w:eastAsia="zh-CN"/>
              </w:rPr>
              <w:t>扣分原因</w:t>
            </w: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512" w:type="dxa"/>
            <w:vMerge w:val="restart"/>
            <w:vAlign w:val="center"/>
          </w:tcPr>
          <w:p>
            <w:pPr>
              <w:spacing w:line="240" w:lineRule="exact"/>
              <w:jc w:val="center"/>
              <w:rPr>
                <w:rFonts w:ascii="Times New Roman" w:hAnsi="Times New Roman" w:eastAsia="仿宋_GB2312"/>
                <w:sz w:val="24"/>
                <w:szCs w:val="24"/>
              </w:rPr>
            </w:pPr>
            <w:r>
              <w:rPr>
                <w:rFonts w:ascii="Times New Roman" w:hAnsi="Times New Roman" w:eastAsia="仿宋_GB2312"/>
                <w:sz w:val="24"/>
                <w:szCs w:val="24"/>
              </w:rPr>
              <w:t>7.过程监督</w:t>
            </w:r>
          </w:p>
        </w:tc>
        <w:tc>
          <w:tcPr>
            <w:tcW w:w="3258" w:type="dxa"/>
            <w:tcBorders>
              <w:top w:val="single" w:color="auto" w:sz="6" w:space="0"/>
            </w:tcBorders>
            <w:vAlign w:val="center"/>
          </w:tcPr>
          <w:p>
            <w:pPr>
              <w:jc w:val="left"/>
              <w:rPr>
                <w:rFonts w:ascii="Times New Roman" w:hAnsi="Times New Roman" w:eastAsia="仿宋_GB2312"/>
                <w:sz w:val="24"/>
                <w:szCs w:val="24"/>
              </w:rPr>
            </w:pPr>
            <w:r>
              <w:rPr>
                <w:rFonts w:ascii="Times New Roman" w:hAnsi="Times New Roman" w:eastAsia="仿宋_GB2312"/>
                <w:sz w:val="24"/>
                <w:szCs w:val="24"/>
              </w:rPr>
              <w:t>（21）对食品生产经营者全面实行食品安全风险分级动态管理，得2分；否则相应扣分。</w:t>
            </w:r>
          </w:p>
          <w:p>
            <w:pPr>
              <w:ind w:firstLine="480" w:firstLineChars="200"/>
              <w:jc w:val="left"/>
              <w:rPr>
                <w:rFonts w:ascii="Times New Roman" w:hAnsi="Times New Roman" w:eastAsia="仿宋_GB2312"/>
                <w:sz w:val="24"/>
                <w:szCs w:val="24"/>
              </w:rPr>
            </w:pPr>
            <w:r>
              <w:rPr>
                <w:rFonts w:ascii="Times New Roman" w:hAnsi="Times New Roman" w:eastAsia="仿宋_GB2312"/>
                <w:sz w:val="24"/>
                <w:szCs w:val="24"/>
              </w:rPr>
              <w:t>在日常监督检查全覆盖基础上，对一般风险生产企业实施按比例“双随机”抽查，对高风险企业实施重点检查，对问题线索企业实施飞行检查，督促企业生产经营过程持续合规，得3分；否则相应扣分。</w:t>
            </w:r>
          </w:p>
        </w:tc>
        <w:tc>
          <w:tcPr>
            <w:tcW w:w="5424" w:type="dxa"/>
            <w:tcBorders>
              <w:top w:val="single" w:color="auto" w:sz="6" w:space="0"/>
            </w:tcBorders>
            <w:vAlign w:val="center"/>
          </w:tcPr>
          <w:p>
            <w:pPr>
              <w:rPr>
                <w:rFonts w:ascii="Times New Roman" w:hAnsi="Times New Roman" w:eastAsia="仿宋_GB2312"/>
                <w:sz w:val="24"/>
                <w:szCs w:val="24"/>
              </w:rPr>
            </w:pPr>
            <w:r>
              <w:rPr>
                <w:rFonts w:ascii="Times New Roman" w:hAnsi="Times New Roman" w:eastAsia="仿宋_GB2312"/>
                <w:sz w:val="24"/>
                <w:szCs w:val="24"/>
              </w:rPr>
              <w:t>根据风险分级，核实年度时间内监督检查频次，未满足频次要求或动态管理的，每发现一次，扣0.5分。</w:t>
            </w:r>
          </w:p>
        </w:tc>
        <w:tc>
          <w:tcPr>
            <w:tcW w:w="995" w:type="dxa"/>
            <w:tcBorders>
              <w:top w:val="single" w:color="auto" w:sz="6" w:space="0"/>
            </w:tcBorders>
            <w:vAlign w:val="center"/>
          </w:tcPr>
          <w:p>
            <w:pPr>
              <w:widowControl/>
              <w:snapToGrid w:val="0"/>
              <w:spacing w:line="280" w:lineRule="exact"/>
              <w:rPr>
                <w:rFonts w:ascii="Times New Roman" w:hAnsi="Times New Roman" w:eastAsia="仿宋_GB2312"/>
                <w:sz w:val="24"/>
                <w:szCs w:val="24"/>
              </w:rPr>
            </w:pPr>
          </w:p>
        </w:tc>
        <w:tc>
          <w:tcPr>
            <w:tcW w:w="3066" w:type="dxa"/>
            <w:tcBorders>
              <w:top w:val="single" w:color="auto" w:sz="6" w:space="0"/>
            </w:tcBorders>
            <w:vAlign w:val="center"/>
          </w:tcPr>
          <w:p>
            <w:pPr>
              <w:widowControl/>
              <w:snapToGrid w:val="0"/>
              <w:spacing w:line="280" w:lineRule="exac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512" w:type="dxa"/>
            <w:vMerge w:val="continue"/>
            <w:vAlign w:val="center"/>
          </w:tcPr>
          <w:p>
            <w:pPr>
              <w:keepNext/>
              <w:keepLines/>
              <w:spacing w:before="260" w:after="260" w:line="240" w:lineRule="exact"/>
              <w:jc w:val="center"/>
              <w:rPr>
                <w:rFonts w:ascii="Times New Roman" w:hAnsi="Times New Roman" w:eastAsia="仿宋_GB2312"/>
                <w:sz w:val="24"/>
                <w:szCs w:val="24"/>
              </w:rPr>
            </w:pPr>
          </w:p>
        </w:tc>
        <w:tc>
          <w:tcPr>
            <w:tcW w:w="3258" w:type="dxa"/>
            <w:vAlign w:val="center"/>
          </w:tcPr>
          <w:p>
            <w:pPr>
              <w:widowControl/>
              <w:jc w:val="left"/>
              <w:rPr>
                <w:rFonts w:ascii="Times New Roman" w:hAnsi="Times New Roman" w:eastAsia="仿宋_GB2312"/>
                <w:sz w:val="24"/>
                <w:szCs w:val="24"/>
              </w:rPr>
            </w:pPr>
            <w:r>
              <w:rPr>
                <w:rFonts w:ascii="Times New Roman" w:hAnsi="Times New Roman" w:eastAsia="仿宋_GB2312"/>
                <w:sz w:val="24"/>
                <w:szCs w:val="24"/>
              </w:rPr>
              <w:t>（26）实行校园食品安全校长（园长）负责制和学校相关负责人陪餐制，得2分；否则相应扣分。</w:t>
            </w:r>
          </w:p>
        </w:tc>
        <w:tc>
          <w:tcPr>
            <w:tcW w:w="5424" w:type="dxa"/>
            <w:tcBorders>
              <w:top w:val="single" w:color="auto" w:sz="6" w:space="0"/>
            </w:tcBorders>
            <w:vAlign w:val="center"/>
          </w:tcPr>
          <w:p>
            <w:pPr>
              <w:widowControl/>
              <w:jc w:val="left"/>
              <w:rPr>
                <w:rFonts w:ascii="Times New Roman" w:hAnsi="Times New Roman" w:eastAsia="仿宋_GB2312"/>
                <w:sz w:val="24"/>
                <w:szCs w:val="24"/>
              </w:rPr>
            </w:pPr>
            <w:r>
              <w:rPr>
                <w:rFonts w:ascii="Times New Roman" w:hAnsi="Times New Roman" w:eastAsia="仿宋_GB2312"/>
                <w:sz w:val="24"/>
                <w:szCs w:val="24"/>
              </w:rPr>
              <w:t>查看校园食品安全管理制度、学校相关负责人陪餐记录等，未落实校长（园长）负责制和学校相关负责人陪餐制，未将校园食品安全作为学校安全重要内容的，扣0.5分。</w:t>
            </w:r>
          </w:p>
        </w:tc>
        <w:tc>
          <w:tcPr>
            <w:tcW w:w="995" w:type="dxa"/>
            <w:tcBorders>
              <w:top w:val="single" w:color="auto" w:sz="6" w:space="0"/>
            </w:tcBorders>
            <w:vAlign w:val="center"/>
          </w:tcPr>
          <w:p>
            <w:pPr>
              <w:widowControl/>
              <w:snapToGrid w:val="0"/>
              <w:spacing w:line="280" w:lineRule="exact"/>
              <w:rPr>
                <w:rFonts w:ascii="Times New Roman" w:hAnsi="Times New Roman" w:eastAsia="仿宋_GB2312"/>
                <w:sz w:val="24"/>
                <w:szCs w:val="24"/>
              </w:rPr>
            </w:pPr>
          </w:p>
        </w:tc>
        <w:tc>
          <w:tcPr>
            <w:tcW w:w="3066" w:type="dxa"/>
            <w:tcBorders>
              <w:top w:val="single" w:color="auto" w:sz="6" w:space="0"/>
            </w:tcBorders>
            <w:vAlign w:val="center"/>
          </w:tcPr>
          <w:p>
            <w:pPr>
              <w:widowControl/>
              <w:snapToGrid w:val="0"/>
              <w:spacing w:line="280" w:lineRule="exac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512" w:type="dxa"/>
            <w:vMerge w:val="continue"/>
            <w:vAlign w:val="center"/>
          </w:tcPr>
          <w:p>
            <w:pPr>
              <w:spacing w:line="240" w:lineRule="exact"/>
              <w:jc w:val="center"/>
              <w:rPr>
                <w:rFonts w:ascii="Times New Roman" w:hAnsi="Times New Roman" w:eastAsia="仿宋_GB2312"/>
                <w:sz w:val="24"/>
                <w:szCs w:val="24"/>
              </w:rPr>
            </w:pPr>
          </w:p>
        </w:tc>
        <w:tc>
          <w:tcPr>
            <w:tcW w:w="3258" w:type="dxa"/>
            <w:tcBorders>
              <w:top w:val="single" w:color="auto" w:sz="6" w:space="0"/>
            </w:tcBorders>
            <w:vAlign w:val="center"/>
          </w:tcPr>
          <w:p>
            <w:pPr>
              <w:jc w:val="left"/>
              <w:rPr>
                <w:rFonts w:ascii="Times New Roman" w:hAnsi="Times New Roman" w:eastAsia="仿宋_GB2312"/>
                <w:sz w:val="24"/>
                <w:szCs w:val="24"/>
              </w:rPr>
            </w:pPr>
            <w:r>
              <w:rPr>
                <w:rFonts w:ascii="Times New Roman" w:hAnsi="Times New Roman" w:eastAsia="仿宋_GB2312"/>
                <w:sz w:val="24"/>
                <w:szCs w:val="24"/>
              </w:rPr>
              <w:t>（28）严格执行关于全面禁止非法野生动物交易、长江流域禁捕、反食品浪费等有关规定，得3分；否则不得分。</w:t>
            </w:r>
          </w:p>
        </w:tc>
        <w:tc>
          <w:tcPr>
            <w:tcW w:w="5424" w:type="dxa"/>
            <w:tcBorders>
              <w:top w:val="single" w:color="auto" w:sz="6" w:space="0"/>
            </w:tcBorders>
            <w:vAlign w:val="center"/>
          </w:tcPr>
          <w:p>
            <w:pPr>
              <w:jc w:val="left"/>
              <w:rPr>
                <w:rFonts w:ascii="Times New Roman" w:hAnsi="Times New Roman" w:eastAsia="仿宋_GB2312"/>
                <w:sz w:val="24"/>
                <w:szCs w:val="24"/>
              </w:rPr>
            </w:pPr>
            <w:r>
              <w:rPr>
                <w:rFonts w:ascii="Times New Roman" w:hAnsi="Times New Roman" w:eastAsia="仿宋_GB2312"/>
                <w:sz w:val="24"/>
                <w:szCs w:val="24"/>
              </w:rPr>
              <w:t>发现未落实反食品浪费等有关规定的，扣3分。</w:t>
            </w:r>
          </w:p>
        </w:tc>
        <w:tc>
          <w:tcPr>
            <w:tcW w:w="995" w:type="dxa"/>
            <w:tcBorders>
              <w:top w:val="single" w:color="auto" w:sz="6" w:space="0"/>
            </w:tcBorders>
            <w:vAlign w:val="center"/>
          </w:tcPr>
          <w:p>
            <w:pPr>
              <w:widowControl/>
              <w:snapToGrid w:val="0"/>
              <w:spacing w:line="280" w:lineRule="exact"/>
              <w:rPr>
                <w:rFonts w:ascii="Times New Roman" w:hAnsi="Times New Roman" w:eastAsia="仿宋_GB2312"/>
                <w:sz w:val="24"/>
                <w:szCs w:val="24"/>
              </w:rPr>
            </w:pPr>
          </w:p>
        </w:tc>
        <w:tc>
          <w:tcPr>
            <w:tcW w:w="3066" w:type="dxa"/>
            <w:tcBorders>
              <w:top w:val="single" w:color="auto" w:sz="6" w:space="0"/>
            </w:tcBorders>
            <w:vAlign w:val="center"/>
          </w:tcPr>
          <w:p>
            <w:pPr>
              <w:widowControl/>
              <w:snapToGrid w:val="0"/>
              <w:spacing w:line="280" w:lineRule="exac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631" w:hRule="atLeast"/>
          <w:jc w:val="center"/>
        </w:trPr>
        <w:tc>
          <w:tcPr>
            <w:tcW w:w="1512" w:type="dxa"/>
            <w:vAlign w:val="center"/>
          </w:tcPr>
          <w:p>
            <w:pPr>
              <w:spacing w:line="240" w:lineRule="exact"/>
              <w:jc w:val="center"/>
              <w:rPr>
                <w:rFonts w:ascii="Times New Roman" w:hAnsi="Times New Roman" w:eastAsia="仿宋_GB2312"/>
                <w:sz w:val="24"/>
                <w:szCs w:val="24"/>
              </w:rPr>
            </w:pPr>
            <w:r>
              <w:rPr>
                <w:rFonts w:ascii="Times New Roman" w:hAnsi="Times New Roman" w:eastAsia="仿宋_GB2312"/>
                <w:sz w:val="24"/>
                <w:szCs w:val="24"/>
              </w:rPr>
              <w:t>10.集中整治</w:t>
            </w:r>
          </w:p>
        </w:tc>
        <w:tc>
          <w:tcPr>
            <w:tcW w:w="3258" w:type="dxa"/>
            <w:vAlign w:val="center"/>
          </w:tcPr>
          <w:p>
            <w:pPr>
              <w:jc w:val="left"/>
              <w:rPr>
                <w:rFonts w:ascii="Times New Roman" w:hAnsi="Times New Roman" w:eastAsia="仿宋_GB2312"/>
                <w:sz w:val="24"/>
                <w:szCs w:val="24"/>
              </w:rPr>
            </w:pPr>
            <w:r>
              <w:rPr>
                <w:rFonts w:ascii="Times New Roman" w:hAnsi="Times New Roman" w:eastAsia="仿宋_GB2312"/>
                <w:sz w:val="24"/>
                <w:szCs w:val="24"/>
              </w:rPr>
              <w:t>（36）集中整治网络餐饮安全，农村假冒伪劣食品，非法添加，农兽药残留超标，保健食品行业违法生产经营和营销、欺诈误导消费，未成年人食品安全监管等群众关注的突出问题，取得显著成效，得10分；否则相应扣分。</w:t>
            </w:r>
          </w:p>
        </w:tc>
        <w:tc>
          <w:tcPr>
            <w:tcW w:w="5424" w:type="dxa"/>
            <w:tcBorders>
              <w:top w:val="single" w:color="auto" w:sz="6" w:space="0"/>
            </w:tcBorders>
            <w:vAlign w:val="center"/>
          </w:tcPr>
          <w:p>
            <w:pPr>
              <w:jc w:val="left"/>
              <w:rPr>
                <w:rFonts w:ascii="Times New Roman" w:hAnsi="Times New Roman" w:eastAsia="仿宋_GB2312"/>
                <w:sz w:val="24"/>
                <w:szCs w:val="24"/>
              </w:rPr>
            </w:pPr>
            <w:r>
              <w:rPr>
                <w:rFonts w:ascii="Times New Roman" w:hAnsi="Times New Roman" w:eastAsia="仿宋_GB2312"/>
                <w:sz w:val="24"/>
                <w:szCs w:val="24"/>
              </w:rPr>
              <w:t>未采取有效措施开展集中整治，每发现一次，扣2分。</w:t>
            </w:r>
          </w:p>
        </w:tc>
        <w:tc>
          <w:tcPr>
            <w:tcW w:w="995" w:type="dxa"/>
            <w:tcBorders>
              <w:top w:val="single" w:color="auto" w:sz="6" w:space="0"/>
            </w:tcBorders>
            <w:vAlign w:val="center"/>
          </w:tcPr>
          <w:p>
            <w:pPr>
              <w:widowControl/>
              <w:snapToGrid w:val="0"/>
              <w:spacing w:line="280" w:lineRule="exact"/>
              <w:rPr>
                <w:rFonts w:ascii="Times New Roman" w:hAnsi="Times New Roman" w:eastAsia="仿宋_GB2312"/>
                <w:sz w:val="24"/>
                <w:szCs w:val="24"/>
              </w:rPr>
            </w:pPr>
          </w:p>
        </w:tc>
        <w:tc>
          <w:tcPr>
            <w:tcW w:w="3066" w:type="dxa"/>
            <w:tcBorders>
              <w:top w:val="single" w:color="auto" w:sz="6" w:space="0"/>
            </w:tcBorders>
            <w:vAlign w:val="center"/>
          </w:tcPr>
          <w:p>
            <w:pPr>
              <w:widowControl/>
              <w:snapToGrid w:val="0"/>
              <w:spacing w:line="280" w:lineRule="exac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512" w:type="dxa"/>
            <w:vAlign w:val="center"/>
          </w:tcPr>
          <w:p>
            <w:pPr>
              <w:jc w:val="center"/>
              <w:rPr>
                <w:rFonts w:ascii="Times New Roman" w:hAnsi="Times New Roman" w:eastAsia="仿宋_GB2312"/>
                <w:sz w:val="24"/>
                <w:szCs w:val="24"/>
              </w:rPr>
            </w:pPr>
            <w:r>
              <w:rPr>
                <w:rFonts w:ascii="Times New Roman" w:hAnsi="Times New Roman" w:eastAsia="仿宋_GB2312"/>
                <w:sz w:val="24"/>
                <w:szCs w:val="24"/>
              </w:rPr>
              <w:t>11.社会共治</w:t>
            </w:r>
          </w:p>
        </w:tc>
        <w:tc>
          <w:tcPr>
            <w:tcW w:w="3258" w:type="dxa"/>
            <w:vAlign w:val="center"/>
          </w:tcPr>
          <w:p>
            <w:pPr>
              <w:snapToGrid w:val="0"/>
              <w:rPr>
                <w:rFonts w:ascii="Times New Roman" w:hAnsi="Times New Roman" w:eastAsia="仿宋_GB2312"/>
                <w:sz w:val="24"/>
                <w:szCs w:val="24"/>
              </w:rPr>
            </w:pPr>
            <w:r>
              <w:rPr>
                <w:rFonts w:ascii="Times New Roman" w:hAnsi="Times New Roman" w:eastAsia="仿宋_GB2312"/>
                <w:sz w:val="24"/>
                <w:szCs w:val="24"/>
              </w:rPr>
              <w:t>（39）落实普法责任制，持续加强食品安全法律法规、国家标准、科学知识的宣传教育，得2分；否则不得分。</w:t>
            </w:r>
          </w:p>
          <w:p>
            <w:pPr>
              <w:snapToGrid w:val="0"/>
              <w:ind w:firstLine="480" w:firstLineChars="200"/>
              <w:rPr>
                <w:rFonts w:ascii="Times New Roman" w:hAnsi="Times New Roman" w:eastAsia="仿宋_GB2312"/>
                <w:sz w:val="24"/>
                <w:szCs w:val="24"/>
              </w:rPr>
            </w:pPr>
            <w:r>
              <w:rPr>
                <w:rFonts w:ascii="Times New Roman" w:hAnsi="Times New Roman" w:eastAsia="仿宋_GB2312"/>
                <w:sz w:val="24"/>
                <w:szCs w:val="24"/>
              </w:rPr>
              <w:t>持续开展“食品安全宣传周”活动，得3分；否则不得分。</w:t>
            </w:r>
          </w:p>
          <w:p>
            <w:pPr>
              <w:ind w:firstLine="480" w:firstLineChars="200"/>
              <w:jc w:val="left"/>
              <w:rPr>
                <w:rFonts w:ascii="Times New Roman" w:hAnsi="Times New Roman" w:eastAsia="仿宋_GB2312"/>
                <w:sz w:val="24"/>
                <w:szCs w:val="24"/>
              </w:rPr>
            </w:pPr>
            <w:r>
              <w:rPr>
                <w:rFonts w:ascii="Times New Roman" w:hAnsi="Times New Roman" w:eastAsia="仿宋_GB2312"/>
                <w:sz w:val="24"/>
                <w:szCs w:val="24"/>
              </w:rPr>
              <w:t>开展校园食品安全和营养教育，得2分；否则不得分。</w:t>
            </w:r>
          </w:p>
        </w:tc>
        <w:tc>
          <w:tcPr>
            <w:tcW w:w="5424" w:type="dxa"/>
            <w:tcBorders>
              <w:top w:val="single" w:color="auto" w:sz="6" w:space="0"/>
            </w:tcBorders>
            <w:vAlign w:val="center"/>
          </w:tcPr>
          <w:p>
            <w:pPr>
              <w:jc w:val="left"/>
              <w:rPr>
                <w:rFonts w:ascii="Times New Roman" w:hAnsi="Times New Roman" w:eastAsia="仿宋_GB2312"/>
                <w:sz w:val="24"/>
                <w:szCs w:val="24"/>
              </w:rPr>
            </w:pPr>
            <w:r>
              <w:rPr>
                <w:rFonts w:ascii="Times New Roman" w:hAnsi="Times New Roman" w:eastAsia="仿宋_GB2312"/>
                <w:sz w:val="24"/>
                <w:szCs w:val="24"/>
              </w:rPr>
              <w:t>未按要求开展校园食品安全、反食品浪费和营养教育，每发现一次，扣0.5分。</w:t>
            </w:r>
          </w:p>
        </w:tc>
        <w:tc>
          <w:tcPr>
            <w:tcW w:w="995" w:type="dxa"/>
            <w:tcBorders>
              <w:top w:val="single" w:color="auto" w:sz="6" w:space="0"/>
            </w:tcBorders>
            <w:vAlign w:val="center"/>
          </w:tcPr>
          <w:p>
            <w:pPr>
              <w:widowControl/>
              <w:snapToGrid w:val="0"/>
              <w:spacing w:line="280" w:lineRule="exact"/>
              <w:rPr>
                <w:rFonts w:ascii="Times New Roman" w:hAnsi="Times New Roman" w:eastAsia="仿宋_GB2312"/>
                <w:sz w:val="24"/>
                <w:szCs w:val="24"/>
              </w:rPr>
            </w:pPr>
          </w:p>
        </w:tc>
        <w:tc>
          <w:tcPr>
            <w:tcW w:w="3066" w:type="dxa"/>
            <w:tcBorders>
              <w:top w:val="single" w:color="auto" w:sz="6" w:space="0"/>
            </w:tcBorders>
            <w:vAlign w:val="center"/>
          </w:tcPr>
          <w:p>
            <w:pPr>
              <w:widowControl/>
              <w:snapToGrid w:val="0"/>
              <w:spacing w:line="280" w:lineRule="exac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819" w:hRule="atLeast"/>
          <w:jc w:val="center"/>
        </w:trPr>
        <w:tc>
          <w:tcPr>
            <w:tcW w:w="1512" w:type="dxa"/>
            <w:vMerge w:val="restart"/>
            <w:vAlign w:val="center"/>
          </w:tcPr>
          <w:p>
            <w:pPr>
              <w:pStyle w:val="2"/>
              <w:tabs>
                <w:tab w:val="left" w:pos="312"/>
              </w:tabs>
              <w:spacing w:line="240" w:lineRule="atLeast"/>
              <w:ind w:left="0" w:leftChars="0" w:firstLine="0" w:firstLineChars="0"/>
              <w:jc w:val="center"/>
              <w:rPr>
                <w:rFonts w:ascii="Times New Roman" w:hAnsi="Times New Roman" w:eastAsia="黑体"/>
                <w:sz w:val="24"/>
                <w:szCs w:val="24"/>
              </w:rPr>
            </w:pPr>
            <w:r>
              <w:rPr>
                <w:rFonts w:ascii="Times New Roman" w:hAnsi="Times New Roman" w:eastAsia="仿宋_GB2312"/>
                <w:sz w:val="24"/>
                <w:szCs w:val="24"/>
              </w:rPr>
              <w:t>19.管理责任</w:t>
            </w:r>
          </w:p>
        </w:tc>
        <w:tc>
          <w:tcPr>
            <w:tcW w:w="3258" w:type="dxa"/>
            <w:vMerge w:val="restart"/>
            <w:tcBorders>
              <w:top w:val="single" w:color="auto" w:sz="6" w:space="0"/>
            </w:tcBorders>
            <w:vAlign w:val="center"/>
          </w:tcPr>
          <w:p>
            <w:pPr>
              <w:jc w:val="left"/>
              <w:rPr>
                <w:rFonts w:ascii="Times New Roman" w:hAnsi="Times New Roman" w:eastAsia="仿宋_GB2312"/>
                <w:sz w:val="24"/>
                <w:szCs w:val="24"/>
              </w:rPr>
            </w:pPr>
            <w:r>
              <w:rPr>
                <w:rFonts w:ascii="Times New Roman" w:hAnsi="Times New Roman" w:eastAsia="仿宋_GB2312"/>
                <w:sz w:val="24"/>
                <w:szCs w:val="24"/>
              </w:rPr>
              <w:t>（55）食品生产经营企业建立健全食品安全管理制度，设置食品质量安全管理岗位，加大食品质量安全管理投入，得5分；否则相应扣分。</w:t>
            </w:r>
          </w:p>
        </w:tc>
        <w:tc>
          <w:tcPr>
            <w:tcW w:w="5424" w:type="dxa"/>
            <w:tcBorders>
              <w:top w:val="single" w:color="auto" w:sz="6" w:space="0"/>
            </w:tcBorders>
            <w:vAlign w:val="center"/>
          </w:tcPr>
          <w:p>
            <w:pPr>
              <w:widowControl/>
              <w:snapToGrid w:val="0"/>
              <w:rPr>
                <w:rFonts w:ascii="Times New Roman" w:hAnsi="Times New Roman" w:eastAsia="仿宋_GB2312"/>
                <w:sz w:val="24"/>
                <w:szCs w:val="24"/>
              </w:rPr>
            </w:pPr>
            <w:r>
              <w:rPr>
                <w:rFonts w:ascii="Times New Roman" w:hAnsi="Times New Roman" w:eastAsia="仿宋_GB2312"/>
                <w:sz w:val="24"/>
                <w:szCs w:val="24"/>
              </w:rPr>
              <w:t>未健全食品安全管理制度，设置食品质量安全管理岗位，扣0.5分。</w:t>
            </w:r>
          </w:p>
        </w:tc>
        <w:tc>
          <w:tcPr>
            <w:tcW w:w="995" w:type="dxa"/>
            <w:tcBorders>
              <w:top w:val="single" w:color="auto" w:sz="6" w:space="0"/>
            </w:tcBorders>
            <w:vAlign w:val="center"/>
          </w:tcPr>
          <w:p>
            <w:pPr>
              <w:spacing w:line="280" w:lineRule="exact"/>
              <w:jc w:val="left"/>
              <w:rPr>
                <w:rFonts w:ascii="Times New Roman" w:hAnsi="Times New Roman" w:eastAsia="仿宋_GB2312"/>
                <w:sz w:val="24"/>
                <w:szCs w:val="24"/>
              </w:rPr>
            </w:pPr>
          </w:p>
        </w:tc>
        <w:tc>
          <w:tcPr>
            <w:tcW w:w="3066" w:type="dxa"/>
            <w:tcBorders>
              <w:top w:val="single" w:color="auto" w:sz="6" w:space="0"/>
            </w:tcBorders>
            <w:vAlign w:val="center"/>
          </w:tcPr>
          <w:p>
            <w:pPr>
              <w:spacing w:line="280" w:lineRule="exact"/>
              <w:jc w:val="lef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512" w:type="dxa"/>
            <w:vMerge w:val="continue"/>
            <w:vAlign w:val="center"/>
          </w:tcPr>
          <w:p>
            <w:pPr>
              <w:pStyle w:val="2"/>
              <w:keepNext/>
              <w:keepLines/>
              <w:tabs>
                <w:tab w:val="left" w:pos="312"/>
              </w:tabs>
              <w:spacing w:before="260" w:line="240" w:lineRule="atLeast"/>
              <w:ind w:left="0" w:leftChars="0" w:firstLine="0" w:firstLineChars="0"/>
              <w:jc w:val="center"/>
              <w:rPr>
                <w:rFonts w:ascii="Times New Roman" w:hAnsi="Times New Roman" w:eastAsia="仿宋_GB2312"/>
                <w:sz w:val="24"/>
                <w:szCs w:val="24"/>
              </w:rPr>
            </w:pPr>
          </w:p>
        </w:tc>
        <w:tc>
          <w:tcPr>
            <w:tcW w:w="3258" w:type="dxa"/>
            <w:vMerge w:val="continue"/>
            <w:vAlign w:val="center"/>
          </w:tcPr>
          <w:p>
            <w:pPr>
              <w:keepNext/>
              <w:keepLines/>
              <w:spacing w:before="260" w:after="260"/>
              <w:jc w:val="left"/>
              <w:rPr>
                <w:rFonts w:ascii="Times New Roman" w:hAnsi="Times New Roman" w:eastAsia="仿宋_GB2312"/>
                <w:sz w:val="24"/>
                <w:szCs w:val="24"/>
              </w:rPr>
            </w:pPr>
          </w:p>
        </w:tc>
        <w:tc>
          <w:tcPr>
            <w:tcW w:w="5424" w:type="dxa"/>
            <w:tcBorders>
              <w:top w:val="single" w:color="auto" w:sz="6" w:space="0"/>
            </w:tcBorders>
            <w:vAlign w:val="center"/>
          </w:tcPr>
          <w:p>
            <w:pPr>
              <w:widowControl/>
              <w:snapToGrid w:val="0"/>
              <w:rPr>
                <w:rFonts w:ascii="Times New Roman" w:hAnsi="Times New Roman" w:eastAsia="仿宋_GB2312"/>
                <w:sz w:val="24"/>
                <w:szCs w:val="24"/>
              </w:rPr>
            </w:pPr>
            <w:r>
              <w:rPr>
                <w:rFonts w:ascii="Times New Roman" w:hAnsi="Times New Roman" w:eastAsia="仿宋_GB2312"/>
                <w:sz w:val="24"/>
                <w:szCs w:val="24"/>
              </w:rPr>
              <w:t>未体现食品质量安全管理投入，扣0.5分。</w:t>
            </w:r>
          </w:p>
        </w:tc>
        <w:tc>
          <w:tcPr>
            <w:tcW w:w="995" w:type="dxa"/>
            <w:tcBorders>
              <w:top w:val="single" w:color="auto" w:sz="6" w:space="0"/>
            </w:tcBorders>
            <w:vAlign w:val="center"/>
          </w:tcPr>
          <w:p>
            <w:pPr>
              <w:spacing w:line="280" w:lineRule="exact"/>
              <w:jc w:val="left"/>
              <w:rPr>
                <w:rFonts w:ascii="Times New Roman" w:hAnsi="Times New Roman" w:eastAsia="仿宋_GB2312"/>
                <w:sz w:val="24"/>
                <w:szCs w:val="24"/>
              </w:rPr>
            </w:pPr>
          </w:p>
        </w:tc>
        <w:tc>
          <w:tcPr>
            <w:tcW w:w="3066" w:type="dxa"/>
            <w:tcBorders>
              <w:top w:val="single" w:color="auto" w:sz="6" w:space="0"/>
            </w:tcBorders>
            <w:vAlign w:val="center"/>
          </w:tcPr>
          <w:p>
            <w:pPr>
              <w:spacing w:line="280" w:lineRule="exact"/>
              <w:jc w:val="lef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512" w:type="dxa"/>
            <w:vMerge w:val="continue"/>
            <w:vAlign w:val="center"/>
          </w:tcPr>
          <w:p>
            <w:pPr>
              <w:pStyle w:val="2"/>
              <w:keepNext/>
              <w:keepLines/>
              <w:tabs>
                <w:tab w:val="left" w:pos="312"/>
              </w:tabs>
              <w:spacing w:before="260" w:line="240" w:lineRule="atLeast"/>
              <w:ind w:left="0" w:leftChars="0" w:firstLine="0" w:firstLineChars="0"/>
              <w:jc w:val="center"/>
              <w:rPr>
                <w:rFonts w:ascii="Times New Roman" w:hAnsi="Times New Roman" w:eastAsia="仿宋_GB2312"/>
                <w:sz w:val="24"/>
                <w:szCs w:val="24"/>
              </w:rPr>
            </w:pPr>
          </w:p>
        </w:tc>
        <w:tc>
          <w:tcPr>
            <w:tcW w:w="3258" w:type="dxa"/>
            <w:vMerge w:val="restart"/>
            <w:vAlign w:val="center"/>
          </w:tcPr>
          <w:p>
            <w:pPr>
              <w:jc w:val="left"/>
              <w:rPr>
                <w:rFonts w:ascii="Times New Roman" w:hAnsi="Times New Roman" w:eastAsia="仿宋_GB2312"/>
                <w:sz w:val="24"/>
                <w:szCs w:val="24"/>
              </w:rPr>
            </w:pPr>
            <w:r>
              <w:rPr>
                <w:rFonts w:ascii="Times New Roman" w:hAnsi="Times New Roman" w:eastAsia="仿宋_GB2312"/>
                <w:sz w:val="24"/>
                <w:szCs w:val="24"/>
              </w:rPr>
              <w:t>（56）食品生产经营企业定期对从业人员及食品质量安全管理岗位人员开展培训考核，本地区食品生产经营单位负责人、食品质量安全管理岗位人员每年参加食品质量安全法律法规等集中培训不低于40学时，监督抽查考核合格率达到95%以上，得5分；否则相应扣分。</w:t>
            </w:r>
          </w:p>
        </w:tc>
        <w:tc>
          <w:tcPr>
            <w:tcW w:w="5424" w:type="dxa"/>
            <w:tcBorders>
              <w:top w:val="single" w:color="auto" w:sz="6" w:space="0"/>
            </w:tcBorders>
            <w:vAlign w:val="center"/>
          </w:tcPr>
          <w:p>
            <w:pPr>
              <w:widowControl/>
              <w:snapToGrid w:val="0"/>
              <w:jc w:val="left"/>
              <w:rPr>
                <w:rFonts w:ascii="Times New Roman" w:hAnsi="Times New Roman" w:eastAsia="仿宋_GB2312"/>
                <w:sz w:val="24"/>
                <w:szCs w:val="24"/>
              </w:rPr>
            </w:pPr>
            <w:r>
              <w:rPr>
                <w:rFonts w:ascii="Times New Roman" w:hAnsi="Times New Roman" w:eastAsia="仿宋_GB2312"/>
                <w:sz w:val="24"/>
                <w:szCs w:val="24"/>
              </w:rPr>
              <w:t>未明确食品安全管理人员，扣0.5分。</w:t>
            </w:r>
          </w:p>
        </w:tc>
        <w:tc>
          <w:tcPr>
            <w:tcW w:w="995" w:type="dxa"/>
            <w:tcBorders>
              <w:top w:val="single" w:color="auto" w:sz="6" w:space="0"/>
            </w:tcBorders>
            <w:vAlign w:val="center"/>
          </w:tcPr>
          <w:p>
            <w:pPr>
              <w:spacing w:line="280" w:lineRule="exact"/>
              <w:jc w:val="left"/>
              <w:rPr>
                <w:rFonts w:ascii="Times New Roman" w:hAnsi="Times New Roman" w:eastAsia="仿宋_GB2312"/>
                <w:sz w:val="24"/>
                <w:szCs w:val="24"/>
              </w:rPr>
            </w:pPr>
          </w:p>
        </w:tc>
        <w:tc>
          <w:tcPr>
            <w:tcW w:w="3066" w:type="dxa"/>
            <w:tcBorders>
              <w:top w:val="single" w:color="auto" w:sz="6" w:space="0"/>
            </w:tcBorders>
            <w:vAlign w:val="center"/>
          </w:tcPr>
          <w:p>
            <w:pPr>
              <w:spacing w:line="280" w:lineRule="exact"/>
              <w:jc w:val="lef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1356" w:hRule="atLeast"/>
          <w:jc w:val="center"/>
        </w:trPr>
        <w:tc>
          <w:tcPr>
            <w:tcW w:w="1512" w:type="dxa"/>
            <w:vMerge w:val="continue"/>
            <w:vAlign w:val="center"/>
          </w:tcPr>
          <w:p>
            <w:pPr>
              <w:pStyle w:val="2"/>
              <w:tabs>
                <w:tab w:val="left" w:pos="312"/>
              </w:tabs>
              <w:spacing w:line="240" w:lineRule="atLeast"/>
              <w:ind w:left="0" w:leftChars="0" w:firstLine="0" w:firstLineChars="0"/>
              <w:jc w:val="center"/>
              <w:rPr>
                <w:rFonts w:ascii="Times New Roman" w:hAnsi="Times New Roman" w:eastAsia="仿宋_GB2312"/>
                <w:sz w:val="24"/>
                <w:szCs w:val="24"/>
              </w:rPr>
            </w:pPr>
          </w:p>
        </w:tc>
        <w:tc>
          <w:tcPr>
            <w:tcW w:w="3258" w:type="dxa"/>
            <w:vMerge w:val="continue"/>
            <w:vAlign w:val="center"/>
          </w:tcPr>
          <w:p>
            <w:pPr>
              <w:jc w:val="left"/>
              <w:rPr>
                <w:rFonts w:ascii="Times New Roman" w:hAnsi="Times New Roman" w:eastAsia="仿宋_GB2312"/>
                <w:sz w:val="24"/>
                <w:szCs w:val="24"/>
              </w:rPr>
            </w:pPr>
          </w:p>
        </w:tc>
        <w:tc>
          <w:tcPr>
            <w:tcW w:w="5424" w:type="dxa"/>
            <w:tcBorders>
              <w:top w:val="single" w:color="auto" w:sz="6" w:space="0"/>
            </w:tcBorders>
            <w:vAlign w:val="center"/>
          </w:tcPr>
          <w:p>
            <w:pPr>
              <w:widowControl/>
              <w:snapToGrid w:val="0"/>
              <w:jc w:val="left"/>
              <w:rPr>
                <w:rFonts w:ascii="Times New Roman" w:hAnsi="Times New Roman" w:eastAsia="仿宋_GB2312"/>
                <w:sz w:val="24"/>
                <w:szCs w:val="24"/>
              </w:rPr>
            </w:pPr>
            <w:r>
              <w:rPr>
                <w:rFonts w:ascii="Times New Roman" w:hAnsi="Times New Roman" w:eastAsia="仿宋_GB2312"/>
                <w:sz w:val="24"/>
                <w:szCs w:val="24"/>
              </w:rPr>
              <w:t>未定期对从业人员及食品安全管理人员开展培训考核，扣0.5分。</w:t>
            </w:r>
          </w:p>
        </w:tc>
        <w:tc>
          <w:tcPr>
            <w:tcW w:w="995" w:type="dxa"/>
            <w:tcBorders>
              <w:top w:val="single" w:color="auto" w:sz="6" w:space="0"/>
            </w:tcBorders>
            <w:vAlign w:val="center"/>
          </w:tcPr>
          <w:p>
            <w:pPr>
              <w:spacing w:line="280" w:lineRule="exact"/>
              <w:jc w:val="left"/>
              <w:rPr>
                <w:rFonts w:ascii="Times New Roman" w:hAnsi="Times New Roman" w:eastAsia="仿宋_GB2312"/>
                <w:sz w:val="24"/>
                <w:szCs w:val="24"/>
              </w:rPr>
            </w:pPr>
          </w:p>
        </w:tc>
        <w:tc>
          <w:tcPr>
            <w:tcW w:w="3066" w:type="dxa"/>
            <w:tcBorders>
              <w:top w:val="single" w:color="auto" w:sz="6" w:space="0"/>
            </w:tcBorders>
            <w:vAlign w:val="center"/>
          </w:tcPr>
          <w:p>
            <w:pPr>
              <w:spacing w:line="280" w:lineRule="exact"/>
              <w:jc w:val="lef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512" w:type="dxa"/>
            <w:vMerge w:val="continue"/>
            <w:vAlign w:val="center"/>
          </w:tcPr>
          <w:p>
            <w:pPr>
              <w:pStyle w:val="2"/>
              <w:tabs>
                <w:tab w:val="left" w:pos="312"/>
              </w:tabs>
              <w:spacing w:line="240" w:lineRule="atLeast"/>
              <w:ind w:left="0" w:leftChars="0" w:firstLine="0" w:firstLineChars="0"/>
              <w:jc w:val="center"/>
              <w:rPr>
                <w:rFonts w:ascii="Times New Roman" w:hAnsi="Times New Roman" w:eastAsia="仿宋_GB2312"/>
                <w:sz w:val="24"/>
                <w:szCs w:val="24"/>
              </w:rPr>
            </w:pPr>
          </w:p>
        </w:tc>
        <w:tc>
          <w:tcPr>
            <w:tcW w:w="3258" w:type="dxa"/>
            <w:vMerge w:val="continue"/>
            <w:vAlign w:val="center"/>
          </w:tcPr>
          <w:p>
            <w:pPr>
              <w:jc w:val="left"/>
              <w:rPr>
                <w:rFonts w:ascii="Times New Roman" w:hAnsi="Times New Roman" w:eastAsia="仿宋_GB2312"/>
                <w:sz w:val="24"/>
                <w:szCs w:val="24"/>
              </w:rPr>
            </w:pPr>
          </w:p>
        </w:tc>
        <w:tc>
          <w:tcPr>
            <w:tcW w:w="5424" w:type="dxa"/>
            <w:tcBorders>
              <w:top w:val="single" w:color="auto" w:sz="6" w:space="0"/>
            </w:tcBorders>
            <w:vAlign w:val="center"/>
          </w:tcPr>
          <w:p>
            <w:pPr>
              <w:widowControl/>
              <w:snapToGrid w:val="0"/>
              <w:jc w:val="left"/>
              <w:rPr>
                <w:rFonts w:ascii="Times New Roman" w:hAnsi="Times New Roman" w:eastAsia="黑体"/>
                <w:sz w:val="24"/>
                <w:szCs w:val="24"/>
              </w:rPr>
            </w:pPr>
            <w:r>
              <w:rPr>
                <w:rFonts w:ascii="Times New Roman" w:hAnsi="Times New Roman" w:eastAsia="仿宋_GB2312"/>
                <w:sz w:val="24"/>
                <w:szCs w:val="24"/>
              </w:rPr>
              <w:t>食品质量安全管理岗位人员的法规知识抽查合格率低于95%，扣0.5分。</w:t>
            </w:r>
          </w:p>
        </w:tc>
        <w:tc>
          <w:tcPr>
            <w:tcW w:w="995" w:type="dxa"/>
            <w:tcBorders>
              <w:top w:val="single" w:color="auto" w:sz="6" w:space="0"/>
            </w:tcBorders>
            <w:vAlign w:val="center"/>
          </w:tcPr>
          <w:p>
            <w:pPr>
              <w:widowControl/>
              <w:spacing w:line="280" w:lineRule="exact"/>
              <w:rPr>
                <w:rFonts w:ascii="Times New Roman" w:hAnsi="Times New Roman" w:eastAsia="仿宋_GB2312"/>
                <w:sz w:val="24"/>
                <w:szCs w:val="24"/>
              </w:rPr>
            </w:pPr>
          </w:p>
        </w:tc>
        <w:tc>
          <w:tcPr>
            <w:tcW w:w="3066" w:type="dxa"/>
            <w:tcBorders>
              <w:top w:val="single" w:color="auto" w:sz="6" w:space="0"/>
            </w:tcBorders>
            <w:vAlign w:val="center"/>
          </w:tcPr>
          <w:p>
            <w:pPr>
              <w:widowControl/>
              <w:spacing w:line="280" w:lineRule="exac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512" w:type="dxa"/>
            <w:vMerge w:val="restart"/>
            <w:vAlign w:val="center"/>
          </w:tcPr>
          <w:p>
            <w:pPr>
              <w:pStyle w:val="2"/>
              <w:ind w:left="0" w:leftChars="0" w:firstLine="0" w:firstLineChars="0"/>
              <w:jc w:val="center"/>
              <w:rPr>
                <w:rFonts w:ascii="Times New Roman" w:hAnsi="Times New Roman" w:eastAsia="仿宋_GB2312"/>
                <w:sz w:val="24"/>
                <w:szCs w:val="24"/>
              </w:rPr>
            </w:pPr>
            <w:r>
              <w:rPr>
                <w:rFonts w:ascii="Times New Roman" w:hAnsi="Times New Roman" w:eastAsia="仿宋_GB2312"/>
                <w:sz w:val="24"/>
                <w:szCs w:val="24"/>
              </w:rPr>
              <w:t>20.过程控制</w:t>
            </w:r>
          </w:p>
        </w:tc>
        <w:tc>
          <w:tcPr>
            <w:tcW w:w="3258" w:type="dxa"/>
            <w:vMerge w:val="restart"/>
            <w:vAlign w:val="center"/>
          </w:tcPr>
          <w:p>
            <w:pPr>
              <w:jc w:val="left"/>
              <w:rPr>
                <w:rFonts w:ascii="Times New Roman" w:hAnsi="Times New Roman" w:eastAsia="仿宋_GB2312"/>
                <w:sz w:val="24"/>
                <w:szCs w:val="24"/>
              </w:rPr>
            </w:pPr>
            <w:r>
              <w:rPr>
                <w:rFonts w:ascii="Times New Roman" w:hAnsi="Times New Roman" w:eastAsia="仿宋_GB2312"/>
                <w:sz w:val="24"/>
                <w:szCs w:val="24"/>
              </w:rPr>
              <w:t>（65）学校食堂、校园及周边食品经营者严格执行食品经营安全相关规范要求，全面落实食品安全主体责任，得3分；否则相应扣分。</w:t>
            </w:r>
          </w:p>
        </w:tc>
        <w:tc>
          <w:tcPr>
            <w:tcW w:w="5424" w:type="dxa"/>
            <w:tcBorders>
              <w:top w:val="single" w:color="auto" w:sz="6" w:space="0"/>
            </w:tcBorders>
            <w:vAlign w:val="center"/>
          </w:tcPr>
          <w:p>
            <w:pPr>
              <w:widowControl/>
              <w:rPr>
                <w:rFonts w:ascii="Times New Roman" w:hAnsi="Times New Roman" w:eastAsia="黑体"/>
                <w:sz w:val="24"/>
                <w:szCs w:val="24"/>
              </w:rPr>
            </w:pPr>
            <w:r>
              <w:rPr>
                <w:rFonts w:ascii="Times New Roman" w:hAnsi="Times New Roman" w:eastAsia="仿宋_GB2312"/>
                <w:sz w:val="24"/>
                <w:szCs w:val="24"/>
              </w:rPr>
              <w:t>存在证照（营业执照和食品经营许可证）不齐全的，扣0.5分。</w:t>
            </w:r>
          </w:p>
        </w:tc>
        <w:tc>
          <w:tcPr>
            <w:tcW w:w="995" w:type="dxa"/>
            <w:tcBorders>
              <w:top w:val="single" w:color="auto" w:sz="6" w:space="0"/>
            </w:tcBorders>
            <w:vAlign w:val="center"/>
          </w:tcPr>
          <w:p>
            <w:pPr>
              <w:widowControl/>
              <w:spacing w:line="280" w:lineRule="exact"/>
              <w:rPr>
                <w:rFonts w:ascii="Times New Roman" w:hAnsi="Times New Roman" w:eastAsia="仿宋_GB2312"/>
                <w:sz w:val="24"/>
                <w:szCs w:val="24"/>
              </w:rPr>
            </w:pPr>
          </w:p>
        </w:tc>
        <w:tc>
          <w:tcPr>
            <w:tcW w:w="3066" w:type="dxa"/>
            <w:tcBorders>
              <w:top w:val="single" w:color="auto" w:sz="6" w:space="0"/>
            </w:tcBorders>
            <w:vAlign w:val="center"/>
          </w:tcPr>
          <w:p>
            <w:pPr>
              <w:widowControl/>
              <w:spacing w:line="280" w:lineRule="exac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512" w:type="dxa"/>
            <w:vMerge w:val="continue"/>
            <w:vAlign w:val="center"/>
          </w:tcPr>
          <w:p>
            <w:pPr>
              <w:pStyle w:val="2"/>
              <w:keepNext/>
              <w:keepLines/>
              <w:spacing w:before="260" w:line="416" w:lineRule="auto"/>
              <w:ind w:left="0" w:leftChars="0" w:firstLine="0" w:firstLineChars="0"/>
              <w:jc w:val="center"/>
              <w:rPr>
                <w:rFonts w:ascii="Times New Roman" w:hAnsi="Times New Roman" w:eastAsia="仿宋_GB2312"/>
                <w:sz w:val="24"/>
                <w:szCs w:val="24"/>
              </w:rPr>
            </w:pPr>
          </w:p>
        </w:tc>
        <w:tc>
          <w:tcPr>
            <w:tcW w:w="3258" w:type="dxa"/>
            <w:vMerge w:val="continue"/>
            <w:vAlign w:val="center"/>
          </w:tcPr>
          <w:p>
            <w:pPr>
              <w:keepNext/>
              <w:keepLines/>
              <w:spacing w:before="260" w:after="260"/>
              <w:jc w:val="left"/>
              <w:rPr>
                <w:rFonts w:ascii="Times New Roman" w:hAnsi="Times New Roman" w:eastAsia="仿宋_GB2312"/>
                <w:sz w:val="24"/>
                <w:szCs w:val="24"/>
              </w:rPr>
            </w:pPr>
          </w:p>
        </w:tc>
        <w:tc>
          <w:tcPr>
            <w:tcW w:w="5424" w:type="dxa"/>
            <w:tcBorders>
              <w:top w:val="single" w:color="auto" w:sz="6" w:space="0"/>
            </w:tcBorders>
            <w:vAlign w:val="center"/>
          </w:tcPr>
          <w:p>
            <w:pPr>
              <w:widowControl/>
              <w:rPr>
                <w:rFonts w:ascii="Times New Roman" w:hAnsi="Times New Roman" w:eastAsia="黑体"/>
                <w:sz w:val="24"/>
                <w:szCs w:val="24"/>
              </w:rPr>
            </w:pPr>
            <w:r>
              <w:rPr>
                <w:rFonts w:ascii="Times New Roman" w:hAnsi="Times New Roman" w:eastAsia="仿宋_GB2312"/>
                <w:sz w:val="24"/>
                <w:szCs w:val="24"/>
              </w:rPr>
              <w:t>存在企业未按照许可范围经营的，扣0.5分。</w:t>
            </w:r>
          </w:p>
        </w:tc>
        <w:tc>
          <w:tcPr>
            <w:tcW w:w="995" w:type="dxa"/>
            <w:tcBorders>
              <w:top w:val="single" w:color="auto" w:sz="6" w:space="0"/>
            </w:tcBorders>
            <w:vAlign w:val="center"/>
          </w:tcPr>
          <w:p>
            <w:pPr>
              <w:widowControl/>
              <w:spacing w:line="280" w:lineRule="exact"/>
              <w:rPr>
                <w:rFonts w:ascii="Times New Roman" w:hAnsi="Times New Roman" w:eastAsia="仿宋_GB2312"/>
                <w:sz w:val="24"/>
                <w:szCs w:val="24"/>
              </w:rPr>
            </w:pPr>
          </w:p>
        </w:tc>
        <w:tc>
          <w:tcPr>
            <w:tcW w:w="3066" w:type="dxa"/>
            <w:tcBorders>
              <w:top w:val="single" w:color="auto" w:sz="6" w:space="0"/>
            </w:tcBorders>
            <w:vAlign w:val="center"/>
          </w:tcPr>
          <w:p>
            <w:pPr>
              <w:widowControl/>
              <w:spacing w:line="280" w:lineRule="exac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512" w:type="dxa"/>
            <w:vMerge w:val="continue"/>
            <w:vAlign w:val="center"/>
          </w:tcPr>
          <w:p>
            <w:pPr>
              <w:pStyle w:val="2"/>
              <w:keepNext/>
              <w:keepLines/>
              <w:spacing w:before="260" w:line="416" w:lineRule="auto"/>
              <w:ind w:left="0" w:leftChars="0" w:firstLine="0" w:firstLineChars="0"/>
              <w:jc w:val="center"/>
              <w:rPr>
                <w:rFonts w:ascii="Times New Roman" w:hAnsi="Times New Roman" w:eastAsia="仿宋_GB2312"/>
                <w:sz w:val="24"/>
                <w:szCs w:val="24"/>
              </w:rPr>
            </w:pPr>
          </w:p>
        </w:tc>
        <w:tc>
          <w:tcPr>
            <w:tcW w:w="3258" w:type="dxa"/>
            <w:vMerge w:val="continue"/>
            <w:vAlign w:val="center"/>
          </w:tcPr>
          <w:p>
            <w:pPr>
              <w:keepNext/>
              <w:keepLines/>
              <w:spacing w:before="260" w:after="260"/>
              <w:jc w:val="left"/>
              <w:rPr>
                <w:rFonts w:ascii="Times New Roman" w:hAnsi="Times New Roman" w:eastAsia="仿宋_GB2312"/>
                <w:sz w:val="24"/>
                <w:szCs w:val="24"/>
              </w:rPr>
            </w:pPr>
          </w:p>
        </w:tc>
        <w:tc>
          <w:tcPr>
            <w:tcW w:w="5424" w:type="dxa"/>
            <w:tcBorders>
              <w:top w:val="single" w:color="auto" w:sz="6" w:space="0"/>
            </w:tcBorders>
            <w:vAlign w:val="center"/>
          </w:tcPr>
          <w:p>
            <w:pPr>
              <w:jc w:val="left"/>
              <w:rPr>
                <w:rFonts w:ascii="Times New Roman" w:hAnsi="Times New Roman" w:eastAsia="黑体"/>
                <w:sz w:val="24"/>
                <w:szCs w:val="24"/>
              </w:rPr>
            </w:pPr>
            <w:r>
              <w:rPr>
                <w:rFonts w:ascii="Times New Roman" w:hAnsi="Times New Roman" w:eastAsia="仿宋_GB2312"/>
                <w:sz w:val="24"/>
                <w:szCs w:val="24"/>
              </w:rPr>
              <w:t>校园内及周边食品经营者存在不规范经营行为的，扣0.5分。</w:t>
            </w:r>
          </w:p>
        </w:tc>
        <w:tc>
          <w:tcPr>
            <w:tcW w:w="995" w:type="dxa"/>
            <w:tcBorders>
              <w:top w:val="single" w:color="auto" w:sz="6" w:space="0"/>
            </w:tcBorders>
            <w:vAlign w:val="center"/>
          </w:tcPr>
          <w:p>
            <w:pPr>
              <w:widowControl/>
              <w:spacing w:line="280" w:lineRule="exact"/>
              <w:rPr>
                <w:rFonts w:ascii="Times New Roman" w:hAnsi="Times New Roman" w:eastAsia="仿宋_GB2312"/>
                <w:sz w:val="24"/>
                <w:szCs w:val="24"/>
              </w:rPr>
            </w:pPr>
          </w:p>
        </w:tc>
        <w:tc>
          <w:tcPr>
            <w:tcW w:w="3066" w:type="dxa"/>
            <w:tcBorders>
              <w:top w:val="single" w:color="auto" w:sz="6" w:space="0"/>
            </w:tcBorders>
            <w:vAlign w:val="center"/>
          </w:tcPr>
          <w:p>
            <w:pPr>
              <w:widowControl/>
              <w:spacing w:line="280" w:lineRule="exac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512" w:type="dxa"/>
            <w:vMerge w:val="continue"/>
            <w:vAlign w:val="center"/>
          </w:tcPr>
          <w:p>
            <w:pPr>
              <w:pStyle w:val="2"/>
              <w:ind w:left="0" w:leftChars="0" w:firstLine="0" w:firstLineChars="0"/>
              <w:jc w:val="center"/>
              <w:rPr>
                <w:rFonts w:ascii="Times New Roman" w:hAnsi="Times New Roman" w:eastAsia="仿宋_GB2312"/>
                <w:sz w:val="24"/>
                <w:szCs w:val="24"/>
              </w:rPr>
            </w:pPr>
          </w:p>
        </w:tc>
        <w:tc>
          <w:tcPr>
            <w:tcW w:w="3258" w:type="dxa"/>
            <w:vMerge w:val="continue"/>
            <w:vAlign w:val="center"/>
          </w:tcPr>
          <w:p>
            <w:pPr>
              <w:jc w:val="left"/>
              <w:rPr>
                <w:rFonts w:ascii="Times New Roman" w:hAnsi="Times New Roman" w:eastAsia="仿宋_GB2312"/>
                <w:sz w:val="24"/>
                <w:szCs w:val="24"/>
              </w:rPr>
            </w:pPr>
          </w:p>
        </w:tc>
        <w:tc>
          <w:tcPr>
            <w:tcW w:w="5424" w:type="dxa"/>
            <w:tcBorders>
              <w:top w:val="single" w:color="auto" w:sz="6" w:space="0"/>
            </w:tcBorders>
            <w:vAlign w:val="center"/>
          </w:tcPr>
          <w:p>
            <w:pPr>
              <w:snapToGrid w:val="0"/>
              <w:jc w:val="left"/>
              <w:rPr>
                <w:rFonts w:ascii="Times New Roman" w:hAnsi="Times New Roman" w:eastAsia="黑体"/>
                <w:sz w:val="24"/>
                <w:szCs w:val="24"/>
              </w:rPr>
            </w:pPr>
            <w:r>
              <w:rPr>
                <w:rFonts w:ascii="Times New Roman" w:hAnsi="Times New Roman" w:eastAsia="仿宋_GB2312"/>
                <w:sz w:val="24"/>
                <w:szCs w:val="24"/>
              </w:rPr>
              <w:t>存在采购的食品原辅材料（含食品添加剂）未索取供货商有效许可证、营业执照的，每发现一次，扣0.5分。</w:t>
            </w:r>
          </w:p>
        </w:tc>
        <w:tc>
          <w:tcPr>
            <w:tcW w:w="995" w:type="dxa"/>
            <w:tcBorders>
              <w:top w:val="single" w:color="auto" w:sz="6" w:space="0"/>
            </w:tcBorders>
            <w:vAlign w:val="center"/>
          </w:tcPr>
          <w:p>
            <w:pPr>
              <w:widowControl/>
              <w:spacing w:line="280" w:lineRule="exact"/>
              <w:rPr>
                <w:rFonts w:ascii="Times New Roman" w:hAnsi="Times New Roman" w:eastAsia="仿宋_GB2312"/>
                <w:sz w:val="24"/>
                <w:szCs w:val="24"/>
              </w:rPr>
            </w:pPr>
          </w:p>
        </w:tc>
        <w:tc>
          <w:tcPr>
            <w:tcW w:w="3066" w:type="dxa"/>
            <w:tcBorders>
              <w:top w:val="single" w:color="auto" w:sz="6" w:space="0"/>
            </w:tcBorders>
            <w:vAlign w:val="center"/>
          </w:tcPr>
          <w:p>
            <w:pPr>
              <w:widowControl/>
              <w:spacing w:line="280" w:lineRule="exac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512" w:type="dxa"/>
            <w:vMerge w:val="continue"/>
            <w:vAlign w:val="center"/>
          </w:tcPr>
          <w:p>
            <w:pPr>
              <w:pStyle w:val="2"/>
              <w:ind w:left="0" w:leftChars="0" w:firstLine="0" w:firstLineChars="0"/>
              <w:jc w:val="center"/>
              <w:rPr>
                <w:rFonts w:ascii="Times New Roman" w:hAnsi="Times New Roman" w:eastAsia="仿宋_GB2312"/>
                <w:sz w:val="24"/>
                <w:szCs w:val="24"/>
              </w:rPr>
            </w:pPr>
          </w:p>
        </w:tc>
        <w:tc>
          <w:tcPr>
            <w:tcW w:w="3258" w:type="dxa"/>
            <w:vMerge w:val="continue"/>
            <w:vAlign w:val="center"/>
          </w:tcPr>
          <w:p>
            <w:pPr>
              <w:jc w:val="left"/>
              <w:rPr>
                <w:rFonts w:ascii="Times New Roman" w:hAnsi="Times New Roman" w:eastAsia="仿宋_GB2312"/>
                <w:sz w:val="24"/>
                <w:szCs w:val="24"/>
              </w:rPr>
            </w:pPr>
          </w:p>
        </w:tc>
        <w:tc>
          <w:tcPr>
            <w:tcW w:w="5424" w:type="dxa"/>
            <w:tcBorders>
              <w:top w:val="single" w:color="auto" w:sz="6" w:space="0"/>
            </w:tcBorders>
            <w:vAlign w:val="center"/>
          </w:tcPr>
          <w:p>
            <w:pPr>
              <w:snapToGrid w:val="0"/>
              <w:jc w:val="left"/>
              <w:rPr>
                <w:rFonts w:ascii="Times New Roman" w:hAnsi="Times New Roman" w:eastAsia="仿宋_GB2312"/>
                <w:sz w:val="24"/>
                <w:szCs w:val="24"/>
              </w:rPr>
            </w:pPr>
            <w:r>
              <w:rPr>
                <w:rFonts w:ascii="Times New Roman" w:hAnsi="Times New Roman" w:eastAsia="仿宋_GB2312"/>
                <w:sz w:val="24"/>
                <w:szCs w:val="24"/>
              </w:rPr>
              <w:t>进货凭证不完整的，存在食品添加剂未专柜（或专位）贮存，或未标识“食品添加剂”字样，或添加剂使用记录填写不规范的，每发现一次，扣0.5分。</w:t>
            </w:r>
          </w:p>
        </w:tc>
        <w:tc>
          <w:tcPr>
            <w:tcW w:w="995" w:type="dxa"/>
            <w:tcBorders>
              <w:top w:val="single" w:color="auto" w:sz="6" w:space="0"/>
            </w:tcBorders>
            <w:vAlign w:val="center"/>
          </w:tcPr>
          <w:p>
            <w:pPr>
              <w:widowControl/>
              <w:spacing w:line="280" w:lineRule="exact"/>
              <w:rPr>
                <w:rFonts w:ascii="Times New Roman" w:hAnsi="Times New Roman" w:eastAsia="仿宋_GB2312"/>
                <w:sz w:val="24"/>
                <w:szCs w:val="24"/>
              </w:rPr>
            </w:pPr>
          </w:p>
        </w:tc>
        <w:tc>
          <w:tcPr>
            <w:tcW w:w="3066" w:type="dxa"/>
            <w:tcBorders>
              <w:top w:val="single" w:color="auto" w:sz="6" w:space="0"/>
            </w:tcBorders>
            <w:vAlign w:val="center"/>
          </w:tcPr>
          <w:p>
            <w:pPr>
              <w:widowControl/>
              <w:spacing w:line="280" w:lineRule="exac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512" w:type="dxa"/>
            <w:vMerge w:val="continue"/>
            <w:vAlign w:val="center"/>
          </w:tcPr>
          <w:p>
            <w:pPr>
              <w:pStyle w:val="2"/>
              <w:ind w:left="0" w:leftChars="0" w:firstLine="0" w:firstLineChars="0"/>
              <w:jc w:val="center"/>
              <w:rPr>
                <w:rFonts w:ascii="Times New Roman" w:hAnsi="Times New Roman" w:eastAsia="仿宋_GB2312"/>
                <w:sz w:val="24"/>
                <w:szCs w:val="24"/>
              </w:rPr>
            </w:pPr>
          </w:p>
        </w:tc>
        <w:tc>
          <w:tcPr>
            <w:tcW w:w="3258" w:type="dxa"/>
            <w:vMerge w:val="continue"/>
            <w:vAlign w:val="center"/>
          </w:tcPr>
          <w:p>
            <w:pPr>
              <w:jc w:val="left"/>
              <w:rPr>
                <w:rFonts w:ascii="Times New Roman" w:hAnsi="Times New Roman" w:eastAsia="仿宋_GB2312"/>
                <w:sz w:val="24"/>
                <w:szCs w:val="24"/>
              </w:rPr>
            </w:pPr>
          </w:p>
        </w:tc>
        <w:tc>
          <w:tcPr>
            <w:tcW w:w="5424" w:type="dxa"/>
            <w:tcBorders>
              <w:top w:val="single" w:color="auto" w:sz="6" w:space="0"/>
            </w:tcBorders>
            <w:vAlign w:val="center"/>
          </w:tcPr>
          <w:p>
            <w:pPr>
              <w:snapToGrid w:val="0"/>
              <w:jc w:val="left"/>
              <w:rPr>
                <w:rFonts w:ascii="Times New Roman" w:hAnsi="Times New Roman" w:eastAsia="黑体"/>
                <w:sz w:val="24"/>
                <w:szCs w:val="24"/>
              </w:rPr>
            </w:pPr>
            <w:r>
              <w:rPr>
                <w:rFonts w:ascii="Times New Roman" w:hAnsi="Times New Roman" w:eastAsia="仿宋_GB2312"/>
                <w:sz w:val="24"/>
                <w:szCs w:val="24"/>
              </w:rPr>
              <w:t>存在成品、半成品、原材料存放未分区摆放或摆放未离地离墙的，扣0.5分。</w:t>
            </w:r>
          </w:p>
        </w:tc>
        <w:tc>
          <w:tcPr>
            <w:tcW w:w="995" w:type="dxa"/>
            <w:tcBorders>
              <w:top w:val="single" w:color="auto" w:sz="6" w:space="0"/>
            </w:tcBorders>
            <w:vAlign w:val="center"/>
          </w:tcPr>
          <w:p>
            <w:pPr>
              <w:widowControl/>
              <w:spacing w:line="280" w:lineRule="exact"/>
              <w:rPr>
                <w:rFonts w:ascii="Times New Roman" w:hAnsi="Times New Roman" w:eastAsia="仿宋_GB2312"/>
                <w:sz w:val="24"/>
                <w:szCs w:val="24"/>
              </w:rPr>
            </w:pPr>
          </w:p>
        </w:tc>
        <w:tc>
          <w:tcPr>
            <w:tcW w:w="3066" w:type="dxa"/>
            <w:tcBorders>
              <w:top w:val="single" w:color="auto" w:sz="6" w:space="0"/>
            </w:tcBorders>
            <w:vAlign w:val="center"/>
          </w:tcPr>
          <w:p>
            <w:pPr>
              <w:widowControl/>
              <w:spacing w:line="280" w:lineRule="exac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512" w:type="dxa"/>
            <w:vMerge w:val="continue"/>
            <w:vAlign w:val="center"/>
          </w:tcPr>
          <w:p>
            <w:pPr>
              <w:pStyle w:val="2"/>
              <w:ind w:left="0" w:leftChars="0" w:firstLine="0" w:firstLineChars="0"/>
              <w:jc w:val="center"/>
              <w:rPr>
                <w:rFonts w:ascii="Times New Roman" w:hAnsi="Times New Roman" w:eastAsia="仿宋_GB2312"/>
                <w:sz w:val="24"/>
                <w:szCs w:val="24"/>
              </w:rPr>
            </w:pPr>
          </w:p>
        </w:tc>
        <w:tc>
          <w:tcPr>
            <w:tcW w:w="3258" w:type="dxa"/>
            <w:vMerge w:val="continue"/>
            <w:vAlign w:val="center"/>
          </w:tcPr>
          <w:p>
            <w:pPr>
              <w:jc w:val="left"/>
              <w:rPr>
                <w:rFonts w:ascii="Times New Roman" w:hAnsi="Times New Roman" w:eastAsia="仿宋_GB2312"/>
                <w:sz w:val="24"/>
                <w:szCs w:val="24"/>
              </w:rPr>
            </w:pPr>
          </w:p>
        </w:tc>
        <w:tc>
          <w:tcPr>
            <w:tcW w:w="5424" w:type="dxa"/>
            <w:tcBorders>
              <w:top w:val="single" w:color="auto" w:sz="6" w:space="0"/>
            </w:tcBorders>
            <w:vAlign w:val="center"/>
          </w:tcPr>
          <w:p>
            <w:pPr>
              <w:snapToGrid w:val="0"/>
              <w:jc w:val="left"/>
              <w:rPr>
                <w:rFonts w:ascii="Times New Roman" w:hAnsi="Times New Roman" w:eastAsia="黑体"/>
                <w:sz w:val="24"/>
                <w:szCs w:val="24"/>
              </w:rPr>
            </w:pPr>
            <w:r>
              <w:rPr>
                <w:rFonts w:ascii="Times New Roman" w:hAnsi="Times New Roman" w:eastAsia="仿宋_GB2312"/>
                <w:sz w:val="24"/>
                <w:szCs w:val="24"/>
              </w:rPr>
              <w:t>存在使用过期、腐败变质、不符合食品安全标准的食品原辅料的，扣0.5分。</w:t>
            </w:r>
          </w:p>
        </w:tc>
        <w:tc>
          <w:tcPr>
            <w:tcW w:w="995" w:type="dxa"/>
            <w:tcBorders>
              <w:top w:val="single" w:color="auto" w:sz="6" w:space="0"/>
            </w:tcBorders>
            <w:vAlign w:val="center"/>
          </w:tcPr>
          <w:p>
            <w:pPr>
              <w:widowControl/>
              <w:spacing w:line="280" w:lineRule="exact"/>
              <w:rPr>
                <w:rFonts w:ascii="Times New Roman" w:hAnsi="Times New Roman" w:eastAsia="仿宋_GB2312"/>
                <w:sz w:val="24"/>
                <w:szCs w:val="24"/>
              </w:rPr>
            </w:pPr>
          </w:p>
        </w:tc>
        <w:tc>
          <w:tcPr>
            <w:tcW w:w="3066" w:type="dxa"/>
            <w:tcBorders>
              <w:top w:val="single" w:color="auto" w:sz="6" w:space="0"/>
            </w:tcBorders>
            <w:vAlign w:val="center"/>
          </w:tcPr>
          <w:p>
            <w:pPr>
              <w:widowControl/>
              <w:spacing w:line="280" w:lineRule="exac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512" w:type="dxa"/>
            <w:vMerge w:val="continue"/>
            <w:vAlign w:val="center"/>
          </w:tcPr>
          <w:p>
            <w:pPr>
              <w:pStyle w:val="2"/>
              <w:ind w:left="0" w:leftChars="0" w:firstLine="0" w:firstLineChars="0"/>
              <w:jc w:val="center"/>
              <w:rPr>
                <w:rFonts w:ascii="Times New Roman" w:hAnsi="Times New Roman" w:eastAsia="仿宋_GB2312"/>
                <w:sz w:val="24"/>
                <w:szCs w:val="24"/>
              </w:rPr>
            </w:pPr>
          </w:p>
        </w:tc>
        <w:tc>
          <w:tcPr>
            <w:tcW w:w="3258" w:type="dxa"/>
            <w:vMerge w:val="continue"/>
            <w:tcBorders>
              <w:top w:val="single" w:color="auto" w:sz="6" w:space="0"/>
            </w:tcBorders>
            <w:vAlign w:val="center"/>
          </w:tcPr>
          <w:p>
            <w:pPr>
              <w:jc w:val="left"/>
              <w:rPr>
                <w:rFonts w:ascii="Times New Roman" w:hAnsi="Times New Roman" w:eastAsia="黑体"/>
                <w:sz w:val="24"/>
                <w:szCs w:val="24"/>
              </w:rPr>
            </w:pPr>
          </w:p>
        </w:tc>
        <w:tc>
          <w:tcPr>
            <w:tcW w:w="5424" w:type="dxa"/>
            <w:tcBorders>
              <w:top w:val="single" w:color="auto" w:sz="6" w:space="0"/>
            </w:tcBorders>
            <w:vAlign w:val="center"/>
          </w:tcPr>
          <w:p>
            <w:pPr>
              <w:snapToGrid w:val="0"/>
              <w:jc w:val="left"/>
              <w:rPr>
                <w:rFonts w:ascii="Times New Roman" w:hAnsi="Times New Roman" w:eastAsia="仿宋_GB2312"/>
                <w:sz w:val="24"/>
                <w:szCs w:val="24"/>
              </w:rPr>
            </w:pPr>
            <w:r>
              <w:rPr>
                <w:rFonts w:ascii="Times New Roman" w:hAnsi="Times New Roman" w:eastAsia="仿宋_GB2312"/>
                <w:sz w:val="24"/>
                <w:szCs w:val="24"/>
              </w:rPr>
              <w:t>存在食品处理区内从事可能污染食品的活动，扣0.5分。</w:t>
            </w:r>
          </w:p>
        </w:tc>
        <w:tc>
          <w:tcPr>
            <w:tcW w:w="995" w:type="dxa"/>
            <w:tcBorders>
              <w:top w:val="single" w:color="auto" w:sz="6" w:space="0"/>
            </w:tcBorders>
            <w:vAlign w:val="center"/>
          </w:tcPr>
          <w:p>
            <w:pPr>
              <w:spacing w:line="280" w:lineRule="exact"/>
              <w:jc w:val="left"/>
              <w:rPr>
                <w:rFonts w:ascii="Times New Roman" w:hAnsi="Times New Roman" w:eastAsia="仿宋_GB2312"/>
                <w:sz w:val="24"/>
                <w:szCs w:val="24"/>
              </w:rPr>
            </w:pPr>
          </w:p>
        </w:tc>
        <w:tc>
          <w:tcPr>
            <w:tcW w:w="3066" w:type="dxa"/>
            <w:tcBorders>
              <w:top w:val="single" w:color="auto" w:sz="6" w:space="0"/>
            </w:tcBorders>
            <w:vAlign w:val="center"/>
          </w:tcPr>
          <w:p>
            <w:pPr>
              <w:spacing w:line="280" w:lineRule="exact"/>
              <w:jc w:val="lef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534" w:hRule="atLeast"/>
          <w:jc w:val="center"/>
        </w:trPr>
        <w:tc>
          <w:tcPr>
            <w:tcW w:w="1512" w:type="dxa"/>
            <w:vMerge w:val="continue"/>
            <w:vAlign w:val="center"/>
          </w:tcPr>
          <w:p>
            <w:pPr>
              <w:pStyle w:val="2"/>
              <w:ind w:left="0" w:leftChars="0" w:firstLine="0" w:firstLineChars="0"/>
              <w:jc w:val="center"/>
              <w:rPr>
                <w:rFonts w:ascii="Times New Roman" w:hAnsi="Times New Roman" w:eastAsia="仿宋_GB2312"/>
                <w:sz w:val="24"/>
                <w:szCs w:val="24"/>
              </w:rPr>
            </w:pPr>
          </w:p>
        </w:tc>
        <w:tc>
          <w:tcPr>
            <w:tcW w:w="3258" w:type="dxa"/>
            <w:vMerge w:val="continue"/>
            <w:tcBorders>
              <w:top w:val="single" w:color="auto" w:sz="6" w:space="0"/>
            </w:tcBorders>
            <w:vAlign w:val="center"/>
          </w:tcPr>
          <w:p>
            <w:pPr>
              <w:jc w:val="left"/>
              <w:rPr>
                <w:rFonts w:ascii="Times New Roman" w:hAnsi="Times New Roman" w:eastAsia="仿宋_GB2312"/>
                <w:sz w:val="24"/>
                <w:szCs w:val="24"/>
              </w:rPr>
            </w:pPr>
          </w:p>
        </w:tc>
        <w:tc>
          <w:tcPr>
            <w:tcW w:w="5424" w:type="dxa"/>
            <w:tcBorders>
              <w:top w:val="single" w:color="auto" w:sz="6" w:space="0"/>
            </w:tcBorders>
            <w:vAlign w:val="center"/>
          </w:tcPr>
          <w:p>
            <w:pPr>
              <w:snapToGrid w:val="0"/>
              <w:jc w:val="left"/>
              <w:rPr>
                <w:rFonts w:ascii="Times New Roman" w:hAnsi="Times New Roman" w:eastAsia="仿宋_GB2312"/>
                <w:sz w:val="24"/>
                <w:szCs w:val="24"/>
              </w:rPr>
            </w:pPr>
            <w:r>
              <w:rPr>
                <w:rFonts w:ascii="Times New Roman" w:hAnsi="Times New Roman" w:eastAsia="仿宋_GB2312"/>
                <w:sz w:val="24"/>
                <w:szCs w:val="24"/>
              </w:rPr>
              <w:t>存在餐饮具的清洗、消毒、保洁设备设施未能运转正常，未对餐饮具进行清洗消毒的，扣0.5分。</w:t>
            </w:r>
          </w:p>
        </w:tc>
        <w:tc>
          <w:tcPr>
            <w:tcW w:w="995" w:type="dxa"/>
            <w:tcBorders>
              <w:top w:val="single" w:color="auto" w:sz="6" w:space="0"/>
            </w:tcBorders>
            <w:vAlign w:val="center"/>
          </w:tcPr>
          <w:p>
            <w:pPr>
              <w:spacing w:line="280" w:lineRule="exact"/>
              <w:jc w:val="left"/>
              <w:rPr>
                <w:rFonts w:ascii="Times New Roman" w:hAnsi="Times New Roman" w:eastAsia="仿宋_GB2312"/>
                <w:sz w:val="24"/>
                <w:szCs w:val="24"/>
              </w:rPr>
            </w:pPr>
          </w:p>
        </w:tc>
        <w:tc>
          <w:tcPr>
            <w:tcW w:w="3066" w:type="dxa"/>
            <w:tcBorders>
              <w:top w:val="single" w:color="auto" w:sz="6" w:space="0"/>
            </w:tcBorders>
            <w:vAlign w:val="center"/>
          </w:tcPr>
          <w:p>
            <w:pPr>
              <w:spacing w:line="280" w:lineRule="exact"/>
              <w:jc w:val="lef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512" w:type="dxa"/>
            <w:vMerge w:val="continue"/>
            <w:vAlign w:val="center"/>
          </w:tcPr>
          <w:p>
            <w:pPr>
              <w:pStyle w:val="2"/>
              <w:ind w:left="0" w:leftChars="0" w:firstLine="0" w:firstLineChars="0"/>
              <w:jc w:val="center"/>
              <w:rPr>
                <w:rFonts w:ascii="Times New Roman" w:hAnsi="Times New Roman" w:eastAsia="仿宋_GB2312"/>
                <w:sz w:val="24"/>
                <w:szCs w:val="24"/>
              </w:rPr>
            </w:pPr>
          </w:p>
        </w:tc>
        <w:tc>
          <w:tcPr>
            <w:tcW w:w="3258" w:type="dxa"/>
            <w:vMerge w:val="continue"/>
            <w:vAlign w:val="center"/>
          </w:tcPr>
          <w:p>
            <w:pPr>
              <w:jc w:val="left"/>
              <w:rPr>
                <w:rFonts w:ascii="Times New Roman" w:hAnsi="Times New Roman" w:eastAsia="仿宋_GB2312"/>
                <w:sz w:val="24"/>
                <w:szCs w:val="24"/>
              </w:rPr>
            </w:pPr>
          </w:p>
        </w:tc>
        <w:tc>
          <w:tcPr>
            <w:tcW w:w="5424" w:type="dxa"/>
            <w:tcBorders>
              <w:top w:val="single" w:color="auto" w:sz="4" w:space="0"/>
            </w:tcBorders>
            <w:vAlign w:val="center"/>
          </w:tcPr>
          <w:p>
            <w:pPr>
              <w:snapToGrid w:val="0"/>
              <w:jc w:val="left"/>
              <w:rPr>
                <w:rFonts w:ascii="Times New Roman" w:hAnsi="Times New Roman" w:eastAsia="仿宋_GB2312"/>
                <w:sz w:val="24"/>
                <w:szCs w:val="24"/>
              </w:rPr>
            </w:pPr>
            <w:r>
              <w:rPr>
                <w:rFonts w:ascii="Times New Roman" w:hAnsi="Times New Roman" w:eastAsia="仿宋_GB2312"/>
                <w:sz w:val="24"/>
                <w:szCs w:val="24"/>
              </w:rPr>
              <w:t>存在未按要求留样的，扣0.5分。</w:t>
            </w:r>
          </w:p>
        </w:tc>
        <w:tc>
          <w:tcPr>
            <w:tcW w:w="995" w:type="dxa"/>
            <w:tcBorders>
              <w:top w:val="single" w:color="auto" w:sz="4" w:space="0"/>
            </w:tcBorders>
            <w:vAlign w:val="center"/>
          </w:tcPr>
          <w:p>
            <w:pPr>
              <w:spacing w:line="280" w:lineRule="exact"/>
              <w:jc w:val="left"/>
              <w:rPr>
                <w:rFonts w:ascii="Times New Roman" w:hAnsi="Times New Roman" w:eastAsia="仿宋_GB2312"/>
                <w:sz w:val="24"/>
                <w:szCs w:val="24"/>
              </w:rPr>
            </w:pPr>
          </w:p>
        </w:tc>
        <w:tc>
          <w:tcPr>
            <w:tcW w:w="3066" w:type="dxa"/>
            <w:tcBorders>
              <w:top w:val="single" w:color="auto" w:sz="4" w:space="0"/>
            </w:tcBorders>
            <w:vAlign w:val="center"/>
          </w:tcPr>
          <w:p>
            <w:pPr>
              <w:spacing w:line="280" w:lineRule="exact"/>
              <w:jc w:val="lef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512" w:type="dxa"/>
            <w:vMerge w:val="continue"/>
            <w:vAlign w:val="center"/>
          </w:tcPr>
          <w:p>
            <w:pPr>
              <w:pStyle w:val="2"/>
              <w:ind w:left="0" w:leftChars="0" w:firstLine="0" w:firstLineChars="0"/>
              <w:jc w:val="center"/>
              <w:rPr>
                <w:rFonts w:ascii="Times New Roman" w:hAnsi="Times New Roman" w:eastAsia="仿宋_GB2312"/>
                <w:sz w:val="24"/>
                <w:szCs w:val="24"/>
              </w:rPr>
            </w:pPr>
          </w:p>
        </w:tc>
        <w:tc>
          <w:tcPr>
            <w:tcW w:w="3258" w:type="dxa"/>
            <w:vMerge w:val="continue"/>
            <w:tcBorders>
              <w:top w:val="single" w:color="auto" w:sz="6" w:space="0"/>
              <w:bottom w:val="single" w:color="auto" w:sz="6" w:space="0"/>
            </w:tcBorders>
            <w:vAlign w:val="center"/>
          </w:tcPr>
          <w:p>
            <w:pPr>
              <w:jc w:val="left"/>
              <w:rPr>
                <w:rFonts w:ascii="Times New Roman" w:hAnsi="Times New Roman" w:eastAsia="仿宋_GB2312"/>
                <w:sz w:val="24"/>
                <w:szCs w:val="24"/>
              </w:rPr>
            </w:pPr>
          </w:p>
        </w:tc>
        <w:tc>
          <w:tcPr>
            <w:tcW w:w="5424" w:type="dxa"/>
            <w:tcBorders>
              <w:top w:val="single" w:color="auto" w:sz="6" w:space="0"/>
              <w:bottom w:val="single" w:color="auto" w:sz="6" w:space="0"/>
            </w:tcBorders>
            <w:vAlign w:val="center"/>
          </w:tcPr>
          <w:p>
            <w:pPr>
              <w:snapToGrid w:val="0"/>
              <w:jc w:val="left"/>
              <w:rPr>
                <w:rFonts w:ascii="Times New Roman" w:hAnsi="Times New Roman" w:eastAsia="仿宋_GB2312"/>
                <w:sz w:val="24"/>
                <w:szCs w:val="24"/>
              </w:rPr>
            </w:pPr>
            <w:r>
              <w:rPr>
                <w:rFonts w:ascii="Times New Roman" w:hAnsi="Times New Roman" w:eastAsia="仿宋_GB2312"/>
                <w:sz w:val="24"/>
                <w:szCs w:val="24"/>
              </w:rPr>
              <w:t>存在专间内温度控制、净水设施、紫外线消毒灯等未有效发挥作用的，扣0.5分。</w:t>
            </w:r>
          </w:p>
        </w:tc>
        <w:tc>
          <w:tcPr>
            <w:tcW w:w="995" w:type="dxa"/>
            <w:tcBorders>
              <w:top w:val="single" w:color="auto" w:sz="6" w:space="0"/>
              <w:bottom w:val="single" w:color="auto" w:sz="6" w:space="0"/>
            </w:tcBorders>
            <w:vAlign w:val="center"/>
          </w:tcPr>
          <w:p>
            <w:pPr>
              <w:spacing w:line="280" w:lineRule="exact"/>
              <w:jc w:val="left"/>
              <w:rPr>
                <w:rFonts w:ascii="Times New Roman" w:hAnsi="Times New Roman" w:eastAsia="仿宋_GB2312"/>
                <w:sz w:val="24"/>
                <w:szCs w:val="24"/>
              </w:rPr>
            </w:pPr>
          </w:p>
        </w:tc>
        <w:tc>
          <w:tcPr>
            <w:tcW w:w="3066" w:type="dxa"/>
            <w:tcBorders>
              <w:top w:val="single" w:color="auto" w:sz="6" w:space="0"/>
              <w:bottom w:val="single" w:color="auto" w:sz="6" w:space="0"/>
            </w:tcBorders>
            <w:vAlign w:val="center"/>
          </w:tcPr>
          <w:p>
            <w:pPr>
              <w:spacing w:line="280" w:lineRule="exact"/>
              <w:jc w:val="lef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512" w:type="dxa"/>
            <w:vMerge w:val="continue"/>
            <w:vAlign w:val="center"/>
          </w:tcPr>
          <w:p>
            <w:pPr>
              <w:pStyle w:val="2"/>
              <w:ind w:left="0" w:leftChars="0" w:firstLine="0" w:firstLineChars="0"/>
              <w:jc w:val="center"/>
              <w:rPr>
                <w:rFonts w:ascii="Times New Roman" w:hAnsi="Times New Roman" w:eastAsia="仿宋_GB2312"/>
                <w:sz w:val="24"/>
                <w:szCs w:val="24"/>
              </w:rPr>
            </w:pPr>
          </w:p>
        </w:tc>
        <w:tc>
          <w:tcPr>
            <w:tcW w:w="3258" w:type="dxa"/>
            <w:vMerge w:val="continue"/>
            <w:tcBorders>
              <w:top w:val="single" w:color="auto" w:sz="6" w:space="0"/>
              <w:bottom w:val="single" w:color="auto" w:sz="6" w:space="0"/>
            </w:tcBorders>
            <w:vAlign w:val="center"/>
          </w:tcPr>
          <w:p>
            <w:pPr>
              <w:jc w:val="left"/>
              <w:rPr>
                <w:rFonts w:ascii="Times New Roman" w:hAnsi="Times New Roman" w:eastAsia="仿宋_GB2312"/>
                <w:sz w:val="24"/>
                <w:szCs w:val="24"/>
              </w:rPr>
            </w:pPr>
          </w:p>
        </w:tc>
        <w:tc>
          <w:tcPr>
            <w:tcW w:w="5424" w:type="dxa"/>
            <w:tcBorders>
              <w:top w:val="single" w:color="auto" w:sz="6" w:space="0"/>
              <w:bottom w:val="single" w:color="auto" w:sz="6" w:space="0"/>
            </w:tcBorders>
            <w:vAlign w:val="center"/>
          </w:tcPr>
          <w:p>
            <w:pPr>
              <w:snapToGrid w:val="0"/>
              <w:jc w:val="left"/>
              <w:rPr>
                <w:rFonts w:ascii="Times New Roman" w:hAnsi="Times New Roman" w:eastAsia="仿宋_GB2312"/>
                <w:sz w:val="24"/>
                <w:szCs w:val="24"/>
              </w:rPr>
            </w:pPr>
            <w:r>
              <w:rPr>
                <w:rFonts w:ascii="Times New Roman" w:hAnsi="Times New Roman" w:eastAsia="仿宋_GB2312"/>
                <w:sz w:val="24"/>
                <w:szCs w:val="24"/>
              </w:rPr>
              <w:t>未设置餐饮具消毒设施或未有效使用，扣0.5分。</w:t>
            </w:r>
          </w:p>
        </w:tc>
        <w:tc>
          <w:tcPr>
            <w:tcW w:w="995" w:type="dxa"/>
            <w:tcBorders>
              <w:top w:val="single" w:color="auto" w:sz="6" w:space="0"/>
              <w:bottom w:val="single" w:color="auto" w:sz="6" w:space="0"/>
            </w:tcBorders>
            <w:vAlign w:val="center"/>
          </w:tcPr>
          <w:p>
            <w:pPr>
              <w:spacing w:line="280" w:lineRule="exact"/>
              <w:jc w:val="left"/>
              <w:rPr>
                <w:rFonts w:ascii="Times New Roman" w:hAnsi="Times New Roman" w:eastAsia="仿宋_GB2312"/>
                <w:sz w:val="24"/>
                <w:szCs w:val="24"/>
              </w:rPr>
            </w:pPr>
          </w:p>
        </w:tc>
        <w:tc>
          <w:tcPr>
            <w:tcW w:w="3066" w:type="dxa"/>
            <w:tcBorders>
              <w:top w:val="single" w:color="auto" w:sz="6" w:space="0"/>
              <w:bottom w:val="single" w:color="auto" w:sz="6" w:space="0"/>
            </w:tcBorders>
            <w:vAlign w:val="center"/>
          </w:tcPr>
          <w:p>
            <w:pPr>
              <w:spacing w:line="280" w:lineRule="exact"/>
              <w:jc w:val="lef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512" w:type="dxa"/>
            <w:vMerge w:val="continue"/>
            <w:vAlign w:val="center"/>
          </w:tcPr>
          <w:p>
            <w:pPr>
              <w:pStyle w:val="2"/>
              <w:ind w:left="0" w:leftChars="0" w:firstLine="0" w:firstLineChars="0"/>
              <w:jc w:val="center"/>
              <w:rPr>
                <w:rFonts w:ascii="Times New Roman" w:hAnsi="Times New Roman" w:eastAsia="仿宋_GB2312"/>
                <w:sz w:val="24"/>
                <w:szCs w:val="24"/>
              </w:rPr>
            </w:pPr>
          </w:p>
        </w:tc>
        <w:tc>
          <w:tcPr>
            <w:tcW w:w="3258" w:type="dxa"/>
            <w:vMerge w:val="continue"/>
            <w:tcBorders>
              <w:top w:val="single" w:color="auto" w:sz="6" w:space="0"/>
              <w:bottom w:val="single" w:color="auto" w:sz="6" w:space="0"/>
            </w:tcBorders>
            <w:vAlign w:val="center"/>
          </w:tcPr>
          <w:p>
            <w:pPr>
              <w:jc w:val="left"/>
              <w:rPr>
                <w:rFonts w:ascii="Times New Roman" w:hAnsi="Times New Roman" w:eastAsia="仿宋_GB2312"/>
                <w:sz w:val="24"/>
                <w:szCs w:val="24"/>
              </w:rPr>
            </w:pPr>
          </w:p>
        </w:tc>
        <w:tc>
          <w:tcPr>
            <w:tcW w:w="5424" w:type="dxa"/>
            <w:tcBorders>
              <w:top w:val="single" w:color="auto" w:sz="6" w:space="0"/>
              <w:bottom w:val="single" w:color="auto" w:sz="6" w:space="0"/>
            </w:tcBorders>
            <w:vAlign w:val="center"/>
          </w:tcPr>
          <w:p>
            <w:pPr>
              <w:snapToGrid w:val="0"/>
              <w:jc w:val="left"/>
              <w:rPr>
                <w:rFonts w:ascii="Times New Roman" w:hAnsi="Times New Roman" w:eastAsia="仿宋_GB2312"/>
                <w:sz w:val="24"/>
                <w:szCs w:val="24"/>
              </w:rPr>
            </w:pPr>
            <w:r>
              <w:rPr>
                <w:rFonts w:ascii="Times New Roman" w:hAnsi="Times New Roman" w:eastAsia="仿宋_GB2312"/>
                <w:sz w:val="24"/>
                <w:szCs w:val="24"/>
              </w:rPr>
              <w:t>存在制售冷荤类食品、生食类食品、裱花蛋糕，或者加工制作四季豆、鲜黄花菜、野生蘑菇、发芽土豆等高风险食品的，扣0.5分。</w:t>
            </w:r>
          </w:p>
        </w:tc>
        <w:tc>
          <w:tcPr>
            <w:tcW w:w="995" w:type="dxa"/>
            <w:tcBorders>
              <w:top w:val="single" w:color="auto" w:sz="6" w:space="0"/>
              <w:bottom w:val="single" w:color="auto" w:sz="6" w:space="0"/>
            </w:tcBorders>
            <w:vAlign w:val="center"/>
          </w:tcPr>
          <w:p>
            <w:pPr>
              <w:spacing w:line="280" w:lineRule="exact"/>
              <w:jc w:val="left"/>
              <w:rPr>
                <w:rFonts w:ascii="Times New Roman" w:hAnsi="Times New Roman" w:eastAsia="仿宋_GB2312"/>
                <w:sz w:val="24"/>
                <w:szCs w:val="24"/>
              </w:rPr>
            </w:pPr>
          </w:p>
        </w:tc>
        <w:tc>
          <w:tcPr>
            <w:tcW w:w="3066" w:type="dxa"/>
            <w:tcBorders>
              <w:top w:val="single" w:color="auto" w:sz="6" w:space="0"/>
              <w:bottom w:val="single" w:color="auto" w:sz="6" w:space="0"/>
            </w:tcBorders>
            <w:vAlign w:val="center"/>
          </w:tcPr>
          <w:p>
            <w:pPr>
              <w:spacing w:line="280" w:lineRule="exact"/>
              <w:jc w:val="lef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512" w:type="dxa"/>
            <w:vMerge w:val="continue"/>
            <w:vAlign w:val="center"/>
          </w:tcPr>
          <w:p>
            <w:pPr>
              <w:pStyle w:val="2"/>
              <w:ind w:left="0" w:leftChars="0" w:firstLine="0" w:firstLineChars="0"/>
              <w:jc w:val="center"/>
              <w:rPr>
                <w:rFonts w:ascii="Times New Roman" w:hAnsi="Times New Roman" w:eastAsia="仿宋_GB2312"/>
                <w:sz w:val="24"/>
                <w:szCs w:val="24"/>
              </w:rPr>
            </w:pPr>
          </w:p>
        </w:tc>
        <w:tc>
          <w:tcPr>
            <w:tcW w:w="3258" w:type="dxa"/>
            <w:vMerge w:val="continue"/>
            <w:tcBorders>
              <w:top w:val="single" w:color="auto" w:sz="6" w:space="0"/>
              <w:bottom w:val="single" w:color="auto" w:sz="6" w:space="0"/>
            </w:tcBorders>
            <w:vAlign w:val="center"/>
          </w:tcPr>
          <w:p>
            <w:pPr>
              <w:jc w:val="left"/>
              <w:rPr>
                <w:rFonts w:ascii="Times New Roman" w:hAnsi="Times New Roman" w:eastAsia="仿宋_GB2312"/>
                <w:sz w:val="24"/>
                <w:szCs w:val="24"/>
              </w:rPr>
            </w:pPr>
          </w:p>
        </w:tc>
        <w:tc>
          <w:tcPr>
            <w:tcW w:w="5424" w:type="dxa"/>
            <w:tcBorders>
              <w:top w:val="single" w:color="auto" w:sz="6" w:space="0"/>
              <w:bottom w:val="single" w:color="auto" w:sz="6" w:space="0"/>
            </w:tcBorders>
            <w:vAlign w:val="center"/>
          </w:tcPr>
          <w:p>
            <w:pPr>
              <w:snapToGrid w:val="0"/>
              <w:jc w:val="left"/>
              <w:rPr>
                <w:rFonts w:ascii="Times New Roman" w:hAnsi="Times New Roman" w:eastAsia="仿宋_GB2312"/>
                <w:sz w:val="24"/>
                <w:szCs w:val="24"/>
              </w:rPr>
            </w:pPr>
            <w:r>
              <w:rPr>
                <w:rFonts w:ascii="Times New Roman" w:hAnsi="Times New Roman" w:eastAsia="仿宋_GB2312"/>
                <w:sz w:val="24"/>
                <w:szCs w:val="24"/>
              </w:rPr>
              <w:t>如采用集中供餐单位送餐，存在未与供餐单位签订供餐合同（或者协议）或未对供餐单位资质进行管理的，扣0.5分。</w:t>
            </w:r>
          </w:p>
        </w:tc>
        <w:tc>
          <w:tcPr>
            <w:tcW w:w="995" w:type="dxa"/>
            <w:tcBorders>
              <w:top w:val="single" w:color="auto" w:sz="6" w:space="0"/>
              <w:bottom w:val="single" w:color="auto" w:sz="6" w:space="0"/>
            </w:tcBorders>
            <w:vAlign w:val="center"/>
          </w:tcPr>
          <w:p>
            <w:pPr>
              <w:spacing w:line="280" w:lineRule="exact"/>
              <w:jc w:val="left"/>
              <w:rPr>
                <w:rFonts w:ascii="Times New Roman" w:hAnsi="Times New Roman" w:eastAsia="仿宋_GB2312"/>
                <w:sz w:val="24"/>
                <w:szCs w:val="24"/>
              </w:rPr>
            </w:pPr>
          </w:p>
        </w:tc>
        <w:tc>
          <w:tcPr>
            <w:tcW w:w="3066" w:type="dxa"/>
            <w:tcBorders>
              <w:top w:val="single" w:color="auto" w:sz="6" w:space="0"/>
              <w:bottom w:val="single" w:color="auto" w:sz="6" w:space="0"/>
            </w:tcBorders>
            <w:vAlign w:val="center"/>
          </w:tcPr>
          <w:p>
            <w:pPr>
              <w:spacing w:line="280" w:lineRule="exact"/>
              <w:jc w:val="lef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512" w:type="dxa"/>
            <w:vMerge w:val="continue"/>
            <w:vAlign w:val="center"/>
          </w:tcPr>
          <w:p>
            <w:pPr>
              <w:pStyle w:val="2"/>
              <w:ind w:left="0" w:leftChars="0" w:firstLine="0" w:firstLineChars="0"/>
              <w:jc w:val="center"/>
              <w:rPr>
                <w:rFonts w:ascii="Times New Roman" w:hAnsi="Times New Roman" w:eastAsia="仿宋_GB2312"/>
                <w:sz w:val="24"/>
                <w:szCs w:val="24"/>
              </w:rPr>
            </w:pPr>
          </w:p>
        </w:tc>
        <w:tc>
          <w:tcPr>
            <w:tcW w:w="3258" w:type="dxa"/>
            <w:vMerge w:val="continue"/>
            <w:tcBorders>
              <w:top w:val="single" w:color="auto" w:sz="6" w:space="0"/>
              <w:bottom w:val="single" w:color="auto" w:sz="6" w:space="0"/>
            </w:tcBorders>
            <w:vAlign w:val="center"/>
          </w:tcPr>
          <w:p>
            <w:pPr>
              <w:jc w:val="left"/>
              <w:rPr>
                <w:rFonts w:ascii="Times New Roman" w:hAnsi="Times New Roman" w:eastAsia="仿宋_GB2312"/>
                <w:sz w:val="24"/>
                <w:szCs w:val="24"/>
              </w:rPr>
            </w:pPr>
          </w:p>
        </w:tc>
        <w:tc>
          <w:tcPr>
            <w:tcW w:w="5424" w:type="dxa"/>
            <w:tcBorders>
              <w:top w:val="single" w:color="auto" w:sz="6" w:space="0"/>
              <w:bottom w:val="single" w:color="auto" w:sz="6" w:space="0"/>
            </w:tcBorders>
            <w:vAlign w:val="center"/>
          </w:tcPr>
          <w:p>
            <w:pPr>
              <w:snapToGrid w:val="0"/>
              <w:jc w:val="left"/>
              <w:rPr>
                <w:rFonts w:ascii="Times New Roman" w:hAnsi="Times New Roman" w:eastAsia="仿宋_GB2312"/>
                <w:sz w:val="24"/>
                <w:szCs w:val="24"/>
              </w:rPr>
            </w:pPr>
            <w:r>
              <w:rPr>
                <w:rFonts w:ascii="Times New Roman" w:hAnsi="Times New Roman" w:eastAsia="仿宋_GB2312"/>
                <w:sz w:val="24"/>
                <w:szCs w:val="24"/>
              </w:rPr>
              <w:t>存在未定期开展食品安全自查的，扣0.5分。</w:t>
            </w:r>
          </w:p>
        </w:tc>
        <w:tc>
          <w:tcPr>
            <w:tcW w:w="995" w:type="dxa"/>
            <w:tcBorders>
              <w:top w:val="single" w:color="auto" w:sz="6" w:space="0"/>
              <w:bottom w:val="single" w:color="auto" w:sz="6" w:space="0"/>
            </w:tcBorders>
            <w:vAlign w:val="center"/>
          </w:tcPr>
          <w:p>
            <w:pPr>
              <w:spacing w:line="280" w:lineRule="exact"/>
              <w:jc w:val="left"/>
              <w:rPr>
                <w:rFonts w:ascii="Times New Roman" w:hAnsi="Times New Roman" w:eastAsia="仿宋_GB2312"/>
                <w:sz w:val="24"/>
                <w:szCs w:val="24"/>
              </w:rPr>
            </w:pPr>
          </w:p>
        </w:tc>
        <w:tc>
          <w:tcPr>
            <w:tcW w:w="3066" w:type="dxa"/>
            <w:tcBorders>
              <w:top w:val="single" w:color="auto" w:sz="6" w:space="0"/>
              <w:bottom w:val="single" w:color="auto" w:sz="6" w:space="0"/>
            </w:tcBorders>
            <w:vAlign w:val="center"/>
          </w:tcPr>
          <w:p>
            <w:pPr>
              <w:spacing w:line="280" w:lineRule="exact"/>
              <w:jc w:val="lef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512" w:type="dxa"/>
            <w:vMerge w:val="continue"/>
            <w:vAlign w:val="center"/>
          </w:tcPr>
          <w:p>
            <w:pPr>
              <w:spacing w:line="240" w:lineRule="exact"/>
              <w:jc w:val="center"/>
              <w:rPr>
                <w:rFonts w:ascii="Times New Roman" w:hAnsi="Times New Roman" w:eastAsia="仿宋_GB2312"/>
                <w:sz w:val="24"/>
                <w:szCs w:val="24"/>
              </w:rPr>
            </w:pPr>
          </w:p>
        </w:tc>
        <w:tc>
          <w:tcPr>
            <w:tcW w:w="3258" w:type="dxa"/>
            <w:tcBorders>
              <w:top w:val="single" w:color="auto" w:sz="6" w:space="0"/>
              <w:bottom w:val="single" w:color="auto" w:sz="6" w:space="0"/>
            </w:tcBorders>
            <w:vAlign w:val="center"/>
          </w:tcPr>
          <w:p>
            <w:pPr>
              <w:jc w:val="left"/>
              <w:rPr>
                <w:rFonts w:ascii="Times New Roman" w:hAnsi="Times New Roman" w:eastAsia="仿宋_GB2312"/>
                <w:sz w:val="24"/>
                <w:szCs w:val="24"/>
              </w:rPr>
            </w:pPr>
            <w:r>
              <w:rPr>
                <w:rFonts w:ascii="Times New Roman" w:hAnsi="Times New Roman" w:eastAsia="仿宋_GB2312"/>
                <w:sz w:val="24"/>
                <w:szCs w:val="24"/>
              </w:rPr>
              <w:t>（66）学校食堂以肉蛋奶、米面油等食品原料为重点，实行大宗食品集中定点采购制度，得2分；否则相应扣分。</w:t>
            </w:r>
          </w:p>
        </w:tc>
        <w:tc>
          <w:tcPr>
            <w:tcW w:w="5424" w:type="dxa"/>
            <w:tcBorders>
              <w:top w:val="single" w:color="auto" w:sz="6" w:space="0"/>
              <w:bottom w:val="single" w:color="auto" w:sz="6" w:space="0"/>
            </w:tcBorders>
            <w:vAlign w:val="center"/>
          </w:tcPr>
          <w:p>
            <w:pPr>
              <w:jc w:val="left"/>
              <w:rPr>
                <w:rFonts w:ascii="Times New Roman" w:hAnsi="Times New Roman" w:eastAsia="仿宋_GB2312"/>
                <w:sz w:val="24"/>
                <w:szCs w:val="24"/>
              </w:rPr>
            </w:pPr>
            <w:r>
              <w:rPr>
                <w:rFonts w:ascii="Times New Roman" w:hAnsi="Times New Roman" w:eastAsia="仿宋_GB2312"/>
                <w:sz w:val="24"/>
                <w:szCs w:val="24"/>
              </w:rPr>
              <w:t>未推行肉蛋奶、米面油等食品原料大宗食品集中定点采购的，扣0.5分。</w:t>
            </w:r>
          </w:p>
        </w:tc>
        <w:tc>
          <w:tcPr>
            <w:tcW w:w="995" w:type="dxa"/>
            <w:tcBorders>
              <w:top w:val="single" w:color="auto" w:sz="6" w:space="0"/>
              <w:bottom w:val="single" w:color="auto" w:sz="6" w:space="0"/>
            </w:tcBorders>
            <w:vAlign w:val="center"/>
          </w:tcPr>
          <w:p>
            <w:pPr>
              <w:spacing w:line="280" w:lineRule="exact"/>
              <w:jc w:val="left"/>
              <w:rPr>
                <w:rFonts w:ascii="Times New Roman" w:hAnsi="Times New Roman" w:eastAsia="仿宋_GB2312"/>
                <w:sz w:val="24"/>
                <w:szCs w:val="24"/>
              </w:rPr>
            </w:pPr>
          </w:p>
        </w:tc>
        <w:tc>
          <w:tcPr>
            <w:tcW w:w="3066" w:type="dxa"/>
            <w:tcBorders>
              <w:top w:val="single" w:color="auto" w:sz="6" w:space="0"/>
              <w:bottom w:val="single" w:color="auto" w:sz="6" w:space="0"/>
            </w:tcBorders>
            <w:vAlign w:val="center"/>
          </w:tcPr>
          <w:p>
            <w:pPr>
              <w:spacing w:line="280" w:lineRule="exact"/>
              <w:jc w:val="left"/>
              <w:rPr>
                <w:rFonts w:ascii="Times New Roman" w:hAnsi="Times New Roman" w:eastAsia="仿宋_GB2312"/>
                <w:sz w:val="24"/>
                <w:szCs w:val="24"/>
              </w:rPr>
            </w:pPr>
          </w:p>
        </w:tc>
      </w:tr>
    </w:tbl>
    <w:p>
      <w:pPr>
        <w:spacing w:beforeLines="50" w:line="360" w:lineRule="exact"/>
        <w:jc w:val="left"/>
        <w:rPr>
          <w:rFonts w:hint="default" w:ascii="Times New Roman" w:hAnsi="Times New Roman" w:eastAsia="楷体_GB2312"/>
          <w:sz w:val="24"/>
          <w:szCs w:val="24"/>
          <w:lang w:val="en-US" w:eastAsia="zh-CN"/>
        </w:rPr>
      </w:pPr>
      <w:r>
        <w:rPr>
          <w:rFonts w:hint="eastAsia" w:ascii="Times New Roman" w:hAnsi="Times New Roman" w:eastAsia="楷体_GB2312"/>
          <w:sz w:val="24"/>
          <w:szCs w:val="24"/>
          <w:lang w:val="en-US" w:eastAsia="zh-CN"/>
        </w:rPr>
        <w:t>检查人员签字：                                               被检查单位签字：</w:t>
      </w:r>
    </w:p>
    <w:p>
      <w:pPr>
        <w:spacing w:beforeLines="50" w:line="360" w:lineRule="exact"/>
        <w:jc w:val="left"/>
        <w:rPr>
          <w:rFonts w:hint="eastAsia" w:ascii="Times New Roman" w:hAnsi="Times New Roman" w:eastAsia="楷体_GB2312"/>
          <w:sz w:val="28"/>
          <w:szCs w:val="28"/>
        </w:rPr>
      </w:pPr>
      <w:r>
        <w:rPr>
          <w:rFonts w:hint="eastAsia" w:ascii="Times New Roman" w:hAnsi="Times New Roman" w:eastAsia="楷体_GB2312"/>
          <w:sz w:val="28"/>
          <w:szCs w:val="28"/>
        </w:rPr>
        <w:t>注：</w:t>
      </w:r>
    </w:p>
    <w:p>
      <w:pPr>
        <w:spacing w:beforeLines="50" w:line="360" w:lineRule="exact"/>
        <w:jc w:val="left"/>
        <w:rPr>
          <w:rFonts w:hint="eastAsia" w:ascii="Times New Roman" w:hAnsi="Times New Roman" w:eastAsia="楷体_GB2312"/>
          <w:sz w:val="24"/>
          <w:szCs w:val="24"/>
        </w:rPr>
      </w:pPr>
      <w:r>
        <w:rPr>
          <w:rFonts w:hint="eastAsia" w:ascii="Times New Roman" w:hAnsi="Times New Roman" w:eastAsia="楷体_GB2312"/>
          <w:sz w:val="24"/>
          <w:szCs w:val="24"/>
        </w:rPr>
        <w:t>1.根据《市场监管总局关于全面推进“双随机、一公开”监管工作的通知》，在发挥“双随机、一公开”监管日常性、基础性作用的同时，对涉及重点领域食品药品、产品质量安全和特种设备安全，未列入抽查事项清单的事项，按照现有方式严格监管。重点检查属于有因检查类型，根据抽检情况、舆情反映、投诉举报等线索，对相关食品经营者开展的有针对性的监督检查。其中，监督检查事项，具体包括以下工作：（1）要对属地食品生产企业进行食品安全风险分级，明确企业风险等级，一般风险指的是低风险；（2）根据风险分级情况合理确定监督检查频次、检查方式和检查要求；（3）监督检查实施主体根据各地监管事权划分确定。</w:t>
      </w:r>
    </w:p>
    <w:p>
      <w:pPr>
        <w:spacing w:beforeLines="50" w:line="360" w:lineRule="exact"/>
        <w:jc w:val="left"/>
        <w:rPr>
          <w:rFonts w:hint="eastAsia" w:ascii="Times New Roman" w:hAnsi="Times New Roman" w:eastAsia="楷体_GB2312"/>
          <w:sz w:val="24"/>
          <w:szCs w:val="24"/>
        </w:rPr>
      </w:pPr>
      <w:r>
        <w:rPr>
          <w:rFonts w:hint="eastAsia" w:ascii="Times New Roman" w:hAnsi="Times New Roman" w:eastAsia="楷体_GB2312"/>
          <w:sz w:val="24"/>
          <w:szCs w:val="24"/>
        </w:rPr>
        <w:t>2.“（55）食品生产经营企业建立健全食品安全管理制度，设置食品质量安全管理岗位，加大食品质量安全管理投入”中，（1）“加大食品安全管理投入”包括但不限于用于改进食品安全风险管控的设备设施、追溯体系信息化建设、食品安全管理人员培训、实验室建设等。（2）食品生产企业食品安全管理制度，主要为食品安全法及其实施条例规定的企业需要建立的相关制度。</w:t>
      </w:r>
    </w:p>
    <w:p>
      <w:pPr>
        <w:spacing w:beforeLines="50" w:line="360" w:lineRule="exact"/>
        <w:jc w:val="left"/>
        <w:rPr>
          <w:rFonts w:hint="eastAsia" w:ascii="Times New Roman" w:hAnsi="Times New Roman" w:eastAsia="楷体_GB2312"/>
          <w:sz w:val="24"/>
          <w:szCs w:val="24"/>
        </w:rPr>
      </w:pPr>
      <w:r>
        <w:rPr>
          <w:rFonts w:hint="eastAsia" w:ascii="Times New Roman" w:hAnsi="Times New Roman" w:eastAsia="楷体_GB2312"/>
          <w:sz w:val="24"/>
          <w:szCs w:val="24"/>
        </w:rPr>
        <w:t>3.“（56）食品生产经营企业定期对从业人员及食品质量安全管理岗位人员开展培训考核，本地区食品生产经营单位负责人、食品质量安全管理岗位人员每年参加食品质量安全法律法规等集中培训不低于40学时，监督抽查考核合格率达到95%以上”中，“集中培训”包括但不限于各级监管部门、行业组织、企业组织的相对集中的食品安全法律法规等培训。</w:t>
      </w:r>
    </w:p>
    <w:p>
      <w:pPr>
        <w:spacing w:beforeLines="50" w:line="360" w:lineRule="exact"/>
        <w:jc w:val="left"/>
        <w:rPr>
          <w:rFonts w:ascii="Times New Roman" w:hAnsi="Times New Roman" w:eastAsia="楷体_GB2312"/>
          <w:sz w:val="24"/>
          <w:szCs w:val="24"/>
        </w:rPr>
      </w:pPr>
      <w:r>
        <w:rPr>
          <w:rFonts w:hint="eastAsia" w:ascii="Times New Roman" w:hAnsi="Times New Roman" w:eastAsia="楷体_GB2312"/>
          <w:sz w:val="24"/>
          <w:szCs w:val="24"/>
        </w:rPr>
        <w:t>4.《学校食品安全与营养健康管理规定》第三十二条规定，有条件的地方或者学校应当实行大宗食品公开招标、集中定点采购制度，签订采购合同时应当明确供货者食品安全责任和义务，保证食品安全。本条规定中，实行大宗食品公开招标、集中定点采购的主体可以是地方，也可以是学校。鼓励建立固定的供货渠道，降低采购成本，防范食品及原料采购中可能出现的各类风险。</w:t>
      </w:r>
    </w:p>
    <w:sectPr>
      <w:footerReference r:id="rId3" w:type="default"/>
      <w:pgSz w:w="16838" w:h="11906" w:orient="landscape"/>
      <w:pgMar w:top="1179" w:right="1440" w:bottom="1179" w:left="144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4"/>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6731D6"/>
    <w:rsid w:val="0B705F30"/>
    <w:rsid w:val="0ECB5EE2"/>
    <w:rsid w:val="1C7A3BD0"/>
    <w:rsid w:val="402F3987"/>
    <w:rsid w:val="451C0458"/>
    <w:rsid w:val="49046A73"/>
    <w:rsid w:val="58C51823"/>
    <w:rsid w:val="69AC431C"/>
    <w:rsid w:val="6FDC3185"/>
    <w:rsid w:val="70EF01E1"/>
    <w:rsid w:val="71BA0093"/>
    <w:rsid w:val="790078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1"/>
    <w:semiHidden/>
    <w:qFormat/>
    <w:uiPriority w:val="0"/>
    <w:pPr>
      <w:ind w:firstLine="420" w:firstLineChars="200"/>
    </w:pPr>
  </w:style>
  <w:style w:type="paragraph" w:styleId="3">
    <w:name w:val="Body Text Indent"/>
    <w:basedOn w:val="1"/>
    <w:semiHidden/>
    <w:qFormat/>
    <w:uiPriority w:val="0"/>
    <w:pPr>
      <w:spacing w:after="120"/>
      <w:ind w:left="420" w:leftChars="2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Administrator.SC-201902141428</dc:creator>
  <cp:lastModifiedBy>~阳光D海岸~</cp:lastModifiedBy>
  <dcterms:modified xsi:type="dcterms:W3CDTF">2021-08-11T09:19:10Z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949D40B8F0424EB4BD8DE592FC7D9B03</vt:lpwstr>
  </property>
</Properties>
</file>