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eastAsia="方正小标宋简体"/>
          <w:sz w:val="36"/>
          <w:szCs w:val="36"/>
        </w:rPr>
      </w:pPr>
      <w:r>
        <w:rPr>
          <w:rFonts w:ascii="Times New Roman" w:hAnsi="Times New Roman" w:eastAsia="方正小标宋简体"/>
          <w:sz w:val="36"/>
          <w:szCs w:val="36"/>
        </w:rPr>
        <w:t>餐饮服务单位</w:t>
      </w:r>
      <w:r>
        <w:rPr>
          <w:rFonts w:hint="eastAsia" w:ascii="Times New Roman" w:hAnsi="Times New Roman" w:eastAsia="方正小标宋简体"/>
          <w:sz w:val="36"/>
          <w:szCs w:val="36"/>
          <w:lang w:eastAsia="zh-CN"/>
        </w:rPr>
        <w:t>—</w:t>
      </w:r>
      <w:r>
        <w:rPr>
          <w:rFonts w:hint="eastAsia" w:ascii="Times New Roman" w:hAnsi="Times New Roman" w:eastAsia="方正小标宋简体"/>
          <w:sz w:val="36"/>
          <w:szCs w:val="36"/>
          <w:lang w:val="en-US" w:eastAsia="zh-CN"/>
        </w:rPr>
        <w:t>其他餐饮服务单位</w:t>
      </w:r>
      <w:r>
        <w:rPr>
          <w:rFonts w:ascii="Times New Roman" w:hAnsi="Times New Roman" w:eastAsia="方正小标宋简体"/>
          <w:sz w:val="36"/>
          <w:szCs w:val="36"/>
        </w:rPr>
        <w:t>明查打分</w:t>
      </w:r>
      <w:r>
        <w:rPr>
          <w:rFonts w:hint="eastAsia" w:ascii="Times New Roman" w:hAnsi="Times New Roman" w:eastAsia="方正小标宋简体"/>
          <w:sz w:val="36"/>
          <w:szCs w:val="36"/>
        </w:rPr>
        <w:t>表</w:t>
      </w:r>
    </w:p>
    <w:p>
      <w:pPr>
        <w:pStyle w:val="2"/>
        <w:spacing w:line="280" w:lineRule="exact"/>
        <w:ind w:left="0" w:leftChars="0" w:firstLine="0" w:firstLineChars="0"/>
        <w:jc w:val="left"/>
        <w:rPr>
          <w:rFonts w:hint="default" w:ascii="Times New Roman" w:hAnsi="Times New Roman" w:eastAsia="仿宋_GB2312"/>
          <w:sz w:val="28"/>
          <w:szCs w:val="28"/>
          <w:lang w:val="en-US" w:eastAsia="zh-CN"/>
        </w:rPr>
      </w:pPr>
      <w:r>
        <w:rPr>
          <w:rFonts w:hint="eastAsia" w:ascii="Times New Roman" w:hAnsi="Times New Roman" w:eastAsia="仿宋_GB2312"/>
          <w:sz w:val="24"/>
          <w:szCs w:val="24"/>
          <w:lang w:val="en-US" w:eastAsia="zh-CN"/>
        </w:rPr>
        <w:t>被检查单位：                                             所属街道：                      检查日期：</w:t>
      </w:r>
    </w:p>
    <w:tbl>
      <w:tblPr>
        <w:tblStyle w:val="6"/>
        <w:tblW w:w="14255" w:type="dxa"/>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fixed"/>
        <w:tblCellMar>
          <w:top w:w="0" w:type="dxa"/>
          <w:left w:w="108" w:type="dxa"/>
          <w:bottom w:w="0" w:type="dxa"/>
          <w:right w:w="108" w:type="dxa"/>
        </w:tblCellMar>
      </w:tblPr>
      <w:tblGrid>
        <w:gridCol w:w="1512"/>
        <w:gridCol w:w="3404"/>
        <w:gridCol w:w="5278"/>
        <w:gridCol w:w="995"/>
        <w:gridCol w:w="3066"/>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481" w:hRule="atLeast"/>
          <w:tblHeader/>
          <w:jc w:val="center"/>
        </w:trPr>
        <w:tc>
          <w:tcPr>
            <w:tcW w:w="1512" w:type="dxa"/>
            <w:tcBorders>
              <w:top w:val="single" w:color="auto" w:sz="6" w:space="0"/>
            </w:tcBorders>
            <w:shd w:val="clear" w:color="auto" w:fill="BDD6EE" w:themeFill="accent1" w:themeFillTint="66"/>
            <w:vAlign w:val="center"/>
          </w:tcPr>
          <w:p>
            <w:pPr>
              <w:pStyle w:val="2"/>
              <w:spacing w:line="280" w:lineRule="exact"/>
              <w:ind w:left="0" w:leftChars="0" w:firstLine="0" w:firstLineChars="0"/>
              <w:jc w:val="center"/>
              <w:rPr>
                <w:rFonts w:ascii="Times New Roman" w:hAnsi="Times New Roman"/>
                <w:sz w:val="24"/>
                <w:szCs w:val="24"/>
              </w:rPr>
            </w:pPr>
            <w:r>
              <w:rPr>
                <w:rFonts w:ascii="Times New Roman" w:hAnsi="Times New Roman" w:eastAsia="黑体"/>
                <w:sz w:val="24"/>
                <w:szCs w:val="24"/>
              </w:rPr>
              <w:t>评价要点</w:t>
            </w:r>
          </w:p>
        </w:tc>
        <w:tc>
          <w:tcPr>
            <w:tcW w:w="3404" w:type="dxa"/>
            <w:tcBorders>
              <w:top w:val="single" w:color="auto" w:sz="6" w:space="0"/>
            </w:tcBorders>
            <w:shd w:val="clear" w:color="auto" w:fill="BDD6EE" w:themeFill="accent1" w:themeFillTint="66"/>
            <w:vAlign w:val="center"/>
          </w:tcPr>
          <w:p>
            <w:pPr>
              <w:jc w:val="center"/>
              <w:rPr>
                <w:rFonts w:ascii="Times New Roman" w:hAnsi="Times New Roman" w:eastAsia="黑体"/>
                <w:sz w:val="24"/>
                <w:szCs w:val="24"/>
              </w:rPr>
            </w:pPr>
            <w:r>
              <w:rPr>
                <w:rFonts w:ascii="Times New Roman" w:hAnsi="Times New Roman" w:eastAsia="黑体"/>
                <w:sz w:val="24"/>
                <w:szCs w:val="24"/>
              </w:rPr>
              <w:t>对应检查内容及分值</w:t>
            </w:r>
          </w:p>
          <w:p>
            <w:pPr>
              <w:spacing w:line="280" w:lineRule="exact"/>
              <w:jc w:val="center"/>
              <w:rPr>
                <w:rFonts w:ascii="Times New Roman" w:hAnsi="Times New Roman" w:eastAsia="黑体"/>
                <w:sz w:val="24"/>
                <w:szCs w:val="24"/>
              </w:rPr>
            </w:pPr>
            <w:r>
              <w:rPr>
                <w:rFonts w:ascii="Times New Roman" w:hAnsi="Times New Roman" w:eastAsia="黑体"/>
                <w:sz w:val="24"/>
                <w:szCs w:val="24"/>
              </w:rPr>
              <w:t>（单项扣完为止）</w:t>
            </w:r>
          </w:p>
        </w:tc>
        <w:tc>
          <w:tcPr>
            <w:tcW w:w="5278" w:type="dxa"/>
            <w:tcBorders>
              <w:top w:val="single" w:color="auto" w:sz="6" w:space="0"/>
            </w:tcBorders>
            <w:shd w:val="clear" w:color="auto" w:fill="BDD6EE" w:themeFill="accent1" w:themeFillTint="66"/>
            <w:vAlign w:val="center"/>
          </w:tcPr>
          <w:p>
            <w:pPr>
              <w:spacing w:line="280" w:lineRule="exact"/>
              <w:jc w:val="center"/>
              <w:rPr>
                <w:rFonts w:ascii="Times New Roman" w:hAnsi="Times New Roman" w:eastAsia="黑体"/>
                <w:sz w:val="24"/>
                <w:szCs w:val="24"/>
              </w:rPr>
            </w:pPr>
            <w:r>
              <w:rPr>
                <w:rFonts w:ascii="Times New Roman" w:hAnsi="Times New Roman" w:eastAsia="黑体"/>
                <w:sz w:val="24"/>
                <w:szCs w:val="24"/>
              </w:rPr>
              <w:t>评分标准</w:t>
            </w:r>
          </w:p>
        </w:tc>
        <w:tc>
          <w:tcPr>
            <w:tcW w:w="995"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扣分数</w:t>
            </w:r>
          </w:p>
        </w:tc>
        <w:tc>
          <w:tcPr>
            <w:tcW w:w="3066" w:type="dxa"/>
            <w:tcBorders>
              <w:top w:val="single" w:color="auto" w:sz="6" w:space="0"/>
            </w:tcBorders>
            <w:shd w:val="clear" w:color="auto" w:fill="BDD6EE" w:themeFill="accent1" w:themeFillTint="66"/>
            <w:vAlign w:val="center"/>
          </w:tcPr>
          <w:p>
            <w:pPr>
              <w:spacing w:line="280" w:lineRule="exact"/>
              <w:jc w:val="center"/>
              <w:rPr>
                <w:rFonts w:hint="default" w:ascii="Times New Roman" w:hAnsi="Times New Roman" w:eastAsia="黑体"/>
                <w:sz w:val="24"/>
                <w:szCs w:val="24"/>
                <w:lang w:val="en-US" w:eastAsia="zh-CN"/>
              </w:rPr>
            </w:pPr>
            <w:r>
              <w:rPr>
                <w:rFonts w:hint="eastAsia" w:ascii="Times New Roman" w:hAnsi="Times New Roman" w:eastAsia="黑体"/>
                <w:sz w:val="24"/>
                <w:szCs w:val="24"/>
                <w:lang w:val="en-US" w:eastAsia="zh-CN"/>
              </w:rPr>
              <w:t>扣分原因</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restart"/>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7.过程监督</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（21）对食品生产经营者全面实行食品安全风险分级动态管理，得2分；否则相应扣分。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在日常监督检查全覆盖基础上，对一般风险生产企业实施按比例“双随机”抽查，对高风险企业实施重点检查，对问题线索企业实施飞行检查，督促企业生产经营过程持续合规，得3分；否则相应扣分。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根据风险分级，核实年度时间内监督检查频次，未满足频次要求或动态管理的，每发现一次，扣0.5分。</w:t>
            </w:r>
          </w:p>
        </w:tc>
        <w:tc>
          <w:tcPr>
            <w:tcW w:w="995" w:type="dxa"/>
            <w:tcBorders>
              <w:top w:val="single" w:color="auto" w:sz="6" w:space="0"/>
            </w:tcBorders>
            <w:vAlign w:val="center"/>
          </w:tcPr>
          <w:p>
            <w:pPr>
              <w:jc w:val="left"/>
              <w:rPr>
                <w:rFonts w:ascii="Times New Roman" w:hAnsi="Times New Roman" w:eastAsia="仿宋_GB2312"/>
                <w:sz w:val="24"/>
                <w:szCs w:val="24"/>
              </w:rPr>
            </w:pPr>
          </w:p>
        </w:tc>
        <w:tc>
          <w:tcPr>
            <w:tcW w:w="3066" w:type="dxa"/>
            <w:tcBorders>
              <w:top w:val="single" w:color="auto" w:sz="6" w:space="0"/>
            </w:tcBorders>
            <w:vAlign w:val="center"/>
          </w:tcPr>
          <w:p>
            <w:pPr>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（28）严格执行关于全面禁止非法野生动物交易、长江流域禁捕、反食品浪费等有关规定，得3分；否则不得分。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发现未落实全面禁止非法野生动物交易、长江流域禁捕、反食品浪费等有关规定的，扣3分。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spacing w:line="240" w:lineRule="exact"/>
              <w:jc w:val="center"/>
              <w:rPr>
                <w:rFonts w:ascii="Times New Roman" w:hAnsi="Times New Roman" w:eastAsia="仿宋_GB2312"/>
                <w:sz w:val="24"/>
                <w:szCs w:val="24"/>
              </w:rPr>
            </w:pPr>
            <w:r>
              <w:rPr>
                <w:rFonts w:ascii="Times New Roman" w:hAnsi="Times New Roman" w:eastAsia="仿宋_GB2312"/>
                <w:sz w:val="24"/>
                <w:szCs w:val="24"/>
              </w:rPr>
              <w:t>10.集中整治</w:t>
            </w:r>
          </w:p>
        </w:tc>
        <w:tc>
          <w:tcPr>
            <w:tcW w:w="3404" w:type="dxa"/>
            <w:vAlign w:val="center"/>
          </w:tcPr>
          <w:p>
            <w:pPr>
              <w:jc w:val="left"/>
              <w:rPr>
                <w:rFonts w:ascii="Times New Roman" w:hAnsi="Times New Roman" w:eastAsia="仿宋_GB2312"/>
                <w:sz w:val="24"/>
                <w:szCs w:val="24"/>
              </w:rPr>
            </w:pPr>
            <w:r>
              <w:rPr>
                <w:rFonts w:ascii="Times New Roman" w:hAnsi="Times New Roman" w:eastAsia="仿宋_GB2312"/>
                <w:sz w:val="24"/>
                <w:szCs w:val="24"/>
              </w:rPr>
              <w:t>（36）集中整治网络餐饮安全，农村假冒伪劣食品，非法添加，农兽药残留超标，保健食品行业违法生产经营和营销、欺诈误导消费，未成年人食品安全监管等群众关注的突出问题，取得显著成效，得10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未采取有效措施开展集中整治，每发现一次，扣2分。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Align w:val="center"/>
          </w:tcPr>
          <w:p>
            <w:pPr>
              <w:jc w:val="center"/>
              <w:rPr>
                <w:rFonts w:ascii="Times New Roman" w:hAnsi="Times New Roman" w:eastAsia="仿宋_GB2312"/>
                <w:sz w:val="24"/>
                <w:szCs w:val="24"/>
              </w:rPr>
            </w:pPr>
            <w:r>
              <w:rPr>
                <w:rFonts w:ascii="Times New Roman" w:hAnsi="Times New Roman" w:eastAsia="仿宋_GB2312"/>
                <w:sz w:val="24"/>
                <w:szCs w:val="24"/>
              </w:rPr>
              <w:t>11.社会共治</w:t>
            </w:r>
          </w:p>
        </w:tc>
        <w:tc>
          <w:tcPr>
            <w:tcW w:w="3404" w:type="dxa"/>
            <w:tcBorders>
              <w:top w:val="single" w:color="auto" w:sz="6" w:space="0"/>
            </w:tcBorders>
            <w:vAlign w:val="center"/>
          </w:tcPr>
          <w:p>
            <w:pPr>
              <w:snapToGrid w:val="0"/>
              <w:rPr>
                <w:rFonts w:ascii="Times New Roman" w:hAnsi="Times New Roman" w:eastAsia="仿宋_GB2312"/>
                <w:sz w:val="24"/>
                <w:szCs w:val="24"/>
              </w:rPr>
            </w:pPr>
            <w:r>
              <w:rPr>
                <w:rFonts w:ascii="Times New Roman" w:hAnsi="Times New Roman" w:eastAsia="仿宋_GB2312"/>
                <w:sz w:val="24"/>
                <w:szCs w:val="24"/>
              </w:rPr>
              <w:t>（39）落实普法责任制，持续加强食品安全法律法规、国家标准、科学知识的宣传教育，得2分；否则相应扣分。</w:t>
            </w:r>
          </w:p>
          <w:p>
            <w:pPr>
              <w:snapToGrid w:val="0"/>
              <w:ind w:firstLine="480" w:firstLineChars="200"/>
              <w:rPr>
                <w:rFonts w:ascii="Times New Roman" w:hAnsi="Times New Roman" w:eastAsia="仿宋_GB2312"/>
                <w:sz w:val="24"/>
                <w:szCs w:val="24"/>
              </w:rPr>
            </w:pPr>
            <w:r>
              <w:rPr>
                <w:rFonts w:ascii="Times New Roman" w:hAnsi="Times New Roman" w:eastAsia="仿宋_GB2312"/>
                <w:sz w:val="24"/>
                <w:szCs w:val="24"/>
              </w:rPr>
              <w:t>持续开展“食品安全宣传周”活动，得3分；否则不得分。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开展校园食品安全和营养教育，得2分；否则相应扣分。</w:t>
            </w:r>
          </w:p>
        </w:tc>
        <w:tc>
          <w:tcPr>
            <w:tcW w:w="5278" w:type="dxa"/>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未开展食品安全宣传教育，每发现一次，扣0.5分。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31" w:hRule="atLeast"/>
          <w:jc w:val="center"/>
        </w:trPr>
        <w:tc>
          <w:tcPr>
            <w:tcW w:w="1512" w:type="dxa"/>
            <w:vMerge w:val="restart"/>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r>
              <w:rPr>
                <w:rFonts w:ascii="Times New Roman" w:hAnsi="Times New Roman" w:eastAsia="仿宋_GB2312"/>
                <w:sz w:val="24"/>
                <w:szCs w:val="24"/>
              </w:rPr>
              <w:t>19.管理责任</w:t>
            </w:r>
          </w:p>
        </w:tc>
        <w:tc>
          <w:tcPr>
            <w:tcW w:w="3404" w:type="dxa"/>
            <w:vMerge w:val="restart"/>
            <w:vAlign w:val="center"/>
          </w:tcPr>
          <w:p>
            <w:pPr>
              <w:jc w:val="left"/>
              <w:rPr>
                <w:rFonts w:ascii="Times New Roman" w:hAnsi="Times New Roman" w:eastAsia="仿宋_GB2312"/>
                <w:sz w:val="24"/>
                <w:szCs w:val="24"/>
              </w:rPr>
            </w:pPr>
            <w:r>
              <w:rPr>
                <w:rFonts w:ascii="Times New Roman" w:hAnsi="Times New Roman" w:eastAsia="仿宋_GB2312"/>
                <w:sz w:val="24"/>
                <w:szCs w:val="24"/>
              </w:rPr>
              <w:t>（55）食品生产经营企业建立健全食品安全管理制度，设置食品质量安全管理岗位，加大食品质量安全管理投入，得5分；否则相应扣分。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未健全食品安全管理制度，设置食品质量安全管理岗位，扣0.5分。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未体现食品质量安全管理投入，扣0.5分。</w:t>
            </w:r>
          </w:p>
        </w:tc>
        <w:tc>
          <w:tcPr>
            <w:tcW w:w="995"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napToGrid w:val="0"/>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黑体"/>
                <w:sz w:val="24"/>
                <w:szCs w:val="24"/>
              </w:rPr>
            </w:pPr>
          </w:p>
        </w:tc>
        <w:tc>
          <w:tcPr>
            <w:tcW w:w="3404" w:type="dxa"/>
            <w:vMerge w:val="restart"/>
            <w:tcBorders>
              <w:top w:val="single" w:color="auto" w:sz="6" w:space="0"/>
            </w:tcBorders>
            <w:vAlign w:val="center"/>
          </w:tcPr>
          <w:p>
            <w:pPr>
              <w:jc w:val="left"/>
              <w:rPr>
                <w:rFonts w:ascii="Times New Roman" w:hAnsi="Times New Roman" w:eastAsia="仿宋_GB2312"/>
                <w:sz w:val="24"/>
                <w:szCs w:val="24"/>
              </w:rPr>
            </w:pPr>
            <w:r>
              <w:rPr>
                <w:rFonts w:ascii="Times New Roman" w:hAnsi="Times New Roman" w:eastAsia="仿宋_GB2312"/>
                <w:sz w:val="24"/>
                <w:szCs w:val="24"/>
              </w:rPr>
              <w:t>（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得5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未明确食品安全管理人员，扣0.5分。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未定期对从业人员及食品安全管理人员开展培训考核，扣0.5分。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pStyle w:val="2"/>
              <w:tabs>
                <w:tab w:val="left" w:pos="312"/>
              </w:tabs>
              <w:spacing w:line="240" w:lineRule="atLeast"/>
              <w:ind w:left="0" w:leftChars="0" w:firstLine="0" w:firstLineChars="0"/>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食品质量安全管理岗位人员的法规知识抽查合格率低于95%，扣0.5分。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restart"/>
            <w:vAlign w:val="center"/>
          </w:tcPr>
          <w:p>
            <w:pPr>
              <w:jc w:val="center"/>
              <w:rPr>
                <w:rFonts w:ascii="Times New Roman" w:hAnsi="Times New Roman" w:eastAsia="仿宋_GB2312"/>
                <w:sz w:val="24"/>
                <w:szCs w:val="24"/>
              </w:rPr>
            </w:pPr>
            <w:r>
              <w:rPr>
                <w:rFonts w:ascii="Times New Roman" w:hAnsi="Times New Roman" w:eastAsia="仿宋_GB2312"/>
                <w:sz w:val="24"/>
                <w:szCs w:val="24"/>
              </w:rPr>
              <w:t>20.过程控制</w:t>
            </w:r>
          </w:p>
        </w:tc>
        <w:tc>
          <w:tcPr>
            <w:tcW w:w="3404" w:type="dxa"/>
            <w:vMerge w:val="restart"/>
            <w:vAlign w:val="center"/>
          </w:tcPr>
          <w:p>
            <w:pPr>
              <w:rPr>
                <w:rFonts w:ascii="Times New Roman" w:hAnsi="Times New Roman" w:eastAsia="仿宋_GB2312"/>
                <w:sz w:val="24"/>
                <w:szCs w:val="24"/>
              </w:rPr>
            </w:pPr>
            <w:r>
              <w:rPr>
                <w:rFonts w:ascii="Times New Roman" w:hAnsi="Times New Roman" w:eastAsia="仿宋_GB2312"/>
                <w:sz w:val="24"/>
                <w:szCs w:val="24"/>
              </w:rPr>
              <w:t>（58）食品生产经营者依法对食品安全责任落实情况、食品安全状况进行自评自查，主动监测其上市产品质量安全状况，对存在隐患及时采取风险控制措施，得3分；否则相应扣分。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食品生产企业自查风险报告率达到100%，得1分；否则不得分。</w:t>
            </w:r>
          </w:p>
          <w:p>
            <w:pPr>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接触直接入口食品的从业人员持有效健康证明上岗，生产加工经营过程严格执行食品生产经营安全相关规范要求，得2分；否则相应扣分。</w:t>
            </w: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未依法对食品安全责任落实情况、食品安全状况进行自评自查，每发现一次，扣0.5分。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自查和监督检查发现问题整改率达不到100%，每发现一次，扣0.5分。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从事接触直接入口食品工作的人员未取得健康证明，每发现一次，扣0.5分。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restart"/>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（64）餐饮服务单位严格执行餐饮服务食品安全操作规范，经营过程、场所环境、人员管理等符合相关规定，餐厨垃圾集中收集处置，得3分；否则相应扣分。</w:t>
            </w:r>
          </w:p>
          <w:p>
            <w:pPr>
              <w:snapToGrid w:val="0"/>
              <w:ind w:firstLine="480" w:firstLineChars="200"/>
              <w:jc w:val="left"/>
              <w:rPr>
                <w:rFonts w:ascii="Times New Roman" w:hAnsi="Times New Roman" w:eastAsia="仿宋_GB2312"/>
                <w:sz w:val="24"/>
                <w:szCs w:val="24"/>
              </w:rPr>
            </w:pPr>
            <w:r>
              <w:rPr>
                <w:rFonts w:ascii="Times New Roman" w:hAnsi="Times New Roman" w:eastAsia="仿宋_GB2312"/>
                <w:sz w:val="24"/>
                <w:szCs w:val="24"/>
              </w:rPr>
              <w:t>发展连锁经营和中央厨房，快餐、团餐等大众餐饮服务规范，餐饮行业标准化水平提升，得2分；否则相应扣分。</w:t>
            </w: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存在与经营的食品品种、数量不相适应的场所、设施、设备，生产加工场所环境卫生差等情况，扣0.5分。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存在未定期维护食品加工、贮存等设施、设备情况，扣0.5分。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widowControl/>
              <w:snapToGrid w:val="0"/>
              <w:spacing w:line="240" w:lineRule="exact"/>
              <w:jc w:val="center"/>
              <w:rPr>
                <w:rFonts w:ascii="Times New Roman" w:hAnsi="Times New Roman" w:eastAsia="仿宋_GB2312"/>
                <w:sz w:val="24"/>
                <w:szCs w:val="24"/>
              </w:rPr>
            </w:pPr>
          </w:p>
        </w:tc>
        <w:tc>
          <w:tcPr>
            <w:tcW w:w="3404" w:type="dxa"/>
            <w:vMerge w:val="continue"/>
            <w:vAlign w:val="center"/>
          </w:tcPr>
          <w:p>
            <w:pPr>
              <w:widowControl/>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黑体"/>
                <w:sz w:val="24"/>
                <w:szCs w:val="24"/>
              </w:rPr>
            </w:pPr>
            <w:r>
              <w:rPr>
                <w:rFonts w:ascii="Times New Roman" w:hAnsi="Times New Roman" w:eastAsia="仿宋_GB2312"/>
                <w:sz w:val="24"/>
                <w:szCs w:val="24"/>
              </w:rPr>
              <w:t>存在未严格执行食品、食品添加剂及食品相关产品控制要求，采购不符合食品安全标准的食品、食品添加剂及食品相关产品情况，扣0.5分。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widowControl/>
              <w:snapToGrid w:val="0"/>
              <w:jc w:val="left"/>
              <w:rPr>
                <w:rFonts w:ascii="Times New Roman" w:hAnsi="Times New Roman" w:eastAsia="仿宋_GB2312"/>
                <w:sz w:val="24"/>
                <w:szCs w:val="24"/>
              </w:rPr>
            </w:pPr>
            <w:r>
              <w:rPr>
                <w:rFonts w:ascii="Times New Roman" w:hAnsi="Times New Roman" w:eastAsia="仿宋_GB2312"/>
                <w:sz w:val="24"/>
                <w:szCs w:val="24"/>
              </w:rPr>
              <w:t>存在未对原料采购至成品供应的全过程实施食品安全管理，未采取有效措施，避免交叉污染情况，扣0.5分。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未按规定配备专兼职食品安全管理员，存在从业人员缺乏食品安全和质量意识，加工制作行为不符合食品安全法律法规要求情况，扣0.5分。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黑体"/>
                <w:sz w:val="24"/>
                <w:szCs w:val="24"/>
              </w:rPr>
            </w:pPr>
            <w:r>
              <w:rPr>
                <w:rFonts w:ascii="Times New Roman" w:hAnsi="Times New Roman" w:eastAsia="仿宋_GB2312"/>
                <w:sz w:val="24"/>
                <w:szCs w:val="24"/>
              </w:rPr>
              <w:t>存在中央厨房、集体配餐单位配送食品的贮存不当，容器材料不符合食品安全国家标准或有关规定或者未按要求标识信息或信息不全等情况，扣0.5分。</w:t>
            </w:r>
          </w:p>
        </w:tc>
        <w:tc>
          <w:tcPr>
            <w:tcW w:w="995" w:type="dxa"/>
            <w:tcBorders>
              <w:top w:val="single" w:color="auto" w:sz="6" w:space="0"/>
            </w:tcBorders>
            <w:vAlign w:val="center"/>
          </w:tcPr>
          <w:p>
            <w:pPr>
              <w:widowControl/>
              <w:spacing w:line="280" w:lineRule="exact"/>
              <w:rPr>
                <w:rFonts w:ascii="Times New Roman" w:hAnsi="Times New Roman" w:eastAsia="仿宋_GB2312"/>
                <w:sz w:val="24"/>
                <w:szCs w:val="24"/>
              </w:rPr>
            </w:pPr>
          </w:p>
        </w:tc>
        <w:tc>
          <w:tcPr>
            <w:tcW w:w="3066" w:type="dxa"/>
            <w:tcBorders>
              <w:top w:val="single" w:color="auto" w:sz="6" w:space="0"/>
            </w:tcBorders>
            <w:vAlign w:val="center"/>
          </w:tcPr>
          <w:p>
            <w:pPr>
              <w:widowControl/>
              <w:spacing w:line="280" w:lineRule="exac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黑体"/>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未设置餐饮具消毒设施或未有效使用，扣0.5分。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534"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存在中央厨房、集体配餐单位以及养老机构食堂、医疗机构食堂等餐饮服务提供者（集体聚餐人数超过100人或为重大活动供餐），每餐次的食品成品未按要求留样，或者未做留样记录情况，扣0.5分。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vAlign w:val="center"/>
          </w:tcPr>
          <w:p>
            <w:pPr>
              <w:snapToGrid w:val="0"/>
              <w:jc w:val="left"/>
              <w:rPr>
                <w:rFonts w:ascii="Times New Roman" w:hAnsi="Times New Roman" w:eastAsia="仿宋_GB2312"/>
                <w:sz w:val="24"/>
                <w:szCs w:val="24"/>
              </w:rPr>
            </w:pPr>
          </w:p>
        </w:tc>
        <w:tc>
          <w:tcPr>
            <w:tcW w:w="5278" w:type="dxa"/>
            <w:tcBorders>
              <w:top w:val="single" w:color="auto" w:sz="4"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存在中央厨房、集体配餐单位未制定检验检测计划，未定期对大宗食品原料、加工制作环境等自行或委托具有</w:t>
            </w:r>
            <w:bookmarkStart w:id="0" w:name="_GoBack"/>
            <w:r>
              <w:rPr>
                <w:rFonts w:ascii="Times New Roman" w:hAnsi="Times New Roman" w:eastAsia="仿宋_GB2312"/>
                <w:sz w:val="24"/>
                <w:szCs w:val="24"/>
              </w:rPr>
              <w:t>资质的第三方机构进行检验检测情况，扣0.5分。</w:t>
            </w:r>
            <w:bookmarkEnd w:id="0"/>
          </w:p>
        </w:tc>
        <w:tc>
          <w:tcPr>
            <w:tcW w:w="995" w:type="dxa"/>
            <w:tcBorders>
              <w:top w:val="single" w:color="auto" w:sz="4"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4"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未按规定落实食品安全自查制度，未定期开展食品安全自查，扣0.5分。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根据当地住建部门提供的餐厨垃圾集中收集处置餐饮单位名单，未实现餐厨垃圾集中收集处置的，扣0.5分。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napToGrid w:val="0"/>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r>
              <w:rPr>
                <w:rFonts w:ascii="Times New Roman" w:hAnsi="Times New Roman" w:eastAsia="仿宋_GB2312"/>
                <w:sz w:val="24"/>
                <w:szCs w:val="24"/>
              </w:rPr>
              <w:t>未见餐厨垃圾收集处置信息定期向社会公示，或者公示信息不全的，扣0.5分。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未在显著位置悬挂营业执照或食品经营许可证的，扣0.5分。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restart"/>
            <w:tcBorders>
              <w:top w:val="single" w:color="auto" w:sz="6" w:space="0"/>
              <w:bottom w:val="single" w:color="auto" w:sz="6" w:space="0"/>
            </w:tcBorders>
            <w:vAlign w:val="center"/>
          </w:tcPr>
          <w:p>
            <w:pPr>
              <w:rPr>
                <w:rFonts w:ascii="Times New Roman" w:hAnsi="Times New Roman" w:eastAsia="仿宋_GB2312"/>
                <w:sz w:val="24"/>
                <w:szCs w:val="24"/>
              </w:rPr>
            </w:pPr>
            <w:r>
              <w:rPr>
                <w:rFonts w:ascii="Times New Roman" w:hAnsi="Times New Roman" w:eastAsia="仿宋_GB2312"/>
                <w:sz w:val="24"/>
                <w:szCs w:val="24"/>
              </w:rPr>
              <w:t>（69）网络订餐第三方平台落实食品安全自查制度，对入网餐饮服务经营者进行实名登记、入网审查、信息公示和抽查监测等，得2分；否则相应扣分。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完善网络订餐在线投诉和售后维权机制，得2分；否则不得分。</w:t>
            </w:r>
          </w:p>
          <w:p>
            <w:pPr>
              <w:ind w:firstLine="480" w:firstLineChars="200"/>
              <w:rPr>
                <w:rFonts w:ascii="Times New Roman" w:hAnsi="Times New Roman" w:eastAsia="仿宋_GB2312"/>
                <w:sz w:val="24"/>
                <w:szCs w:val="24"/>
              </w:rPr>
            </w:pPr>
            <w:r>
              <w:rPr>
                <w:rFonts w:ascii="Times New Roman" w:hAnsi="Times New Roman" w:eastAsia="仿宋_GB2312"/>
                <w:sz w:val="24"/>
                <w:szCs w:val="24"/>
              </w:rPr>
              <w:t>严格落实广告发布责任和要求，得2分；否则不得分。</w:t>
            </w: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从事网络订餐服务，但网络订餐平台入网餐饮服务经营者的食品经营许可证登记信息与实际不一致，扣0.5分。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Merge w:val="continue"/>
            <w:vAlign w:val="center"/>
          </w:tcPr>
          <w:p>
            <w:pPr>
              <w:spacing w:line="240" w:lineRule="exact"/>
              <w:jc w:val="center"/>
              <w:rPr>
                <w:rFonts w:ascii="Times New Roman" w:hAnsi="Times New Roman" w:eastAsia="仿宋_GB2312"/>
                <w:sz w:val="24"/>
                <w:szCs w:val="24"/>
              </w:rPr>
            </w:pPr>
          </w:p>
        </w:tc>
        <w:tc>
          <w:tcPr>
            <w:tcW w:w="3404" w:type="dxa"/>
            <w:vMerge w:val="continue"/>
            <w:tcBorders>
              <w:top w:val="single" w:color="auto" w:sz="6" w:space="0"/>
              <w:bottom w:val="single" w:color="auto" w:sz="6" w:space="0"/>
            </w:tcBorders>
            <w:vAlign w:val="center"/>
          </w:tcPr>
          <w:p>
            <w:pPr>
              <w:snapToGrid w:val="0"/>
              <w:jc w:val="left"/>
              <w:rPr>
                <w:rFonts w:ascii="Times New Roman" w:hAnsi="Times New Roman" w:eastAsia="仿宋_GB2312"/>
                <w:sz w:val="24"/>
                <w:szCs w:val="24"/>
              </w:rPr>
            </w:pPr>
          </w:p>
        </w:tc>
        <w:tc>
          <w:tcPr>
            <w:tcW w:w="5278" w:type="dxa"/>
            <w:tcBorders>
              <w:top w:val="single" w:color="auto" w:sz="6" w:space="0"/>
              <w:bottom w:val="single" w:color="auto" w:sz="6" w:space="0"/>
            </w:tcBorders>
            <w:vAlign w:val="center"/>
          </w:tcPr>
          <w:p>
            <w:pPr>
              <w:widowControl/>
              <w:jc w:val="left"/>
              <w:rPr>
                <w:rFonts w:ascii="Times New Roman" w:hAnsi="Times New Roman" w:eastAsia="仿宋_GB2312"/>
                <w:sz w:val="24"/>
                <w:szCs w:val="24"/>
              </w:rPr>
            </w:pPr>
            <w:r>
              <w:rPr>
                <w:rFonts w:ascii="Times New Roman" w:hAnsi="Times New Roman" w:eastAsia="仿宋_GB2312"/>
                <w:sz w:val="24"/>
                <w:szCs w:val="24"/>
              </w:rPr>
              <w:t>从事网络订餐服务，但网络订餐平台入网餐饮服务经营者超范围经营，扣0.5分。</w:t>
            </w:r>
          </w:p>
        </w:tc>
        <w:tc>
          <w:tcPr>
            <w:tcW w:w="995"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bottom w:val="single" w:color="auto" w:sz="6" w:space="0"/>
            </w:tcBorders>
            <w:vAlign w:val="center"/>
          </w:tcPr>
          <w:p>
            <w:pPr>
              <w:spacing w:line="280" w:lineRule="exact"/>
              <w:jc w:val="left"/>
              <w:rPr>
                <w:rFonts w:ascii="Times New Roman" w:hAnsi="Times New Roman" w:eastAsia="仿宋_GB2312"/>
                <w:sz w:val="24"/>
                <w:szCs w:val="24"/>
              </w:rPr>
            </w:pP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12" w:type="dxa"/>
            <w:vAlign w:val="center"/>
          </w:tcPr>
          <w:p>
            <w:pPr>
              <w:jc w:val="center"/>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23.诚信文化</w:t>
            </w:r>
          </w:p>
        </w:tc>
        <w:tc>
          <w:tcPr>
            <w:tcW w:w="3404" w:type="dxa"/>
            <w:tcBorders>
              <w:top w:val="single" w:color="auto" w:sz="6" w:space="0"/>
            </w:tcBorders>
            <w:vAlign w:val="center"/>
          </w:tcPr>
          <w:p>
            <w:pPr>
              <w:widowControl/>
              <w:adjustRightInd w:val="0"/>
              <w:snapToGrid w:val="0"/>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（72）食品生产经营企业开展诚信守法教育活动，建立诚信守法经营的企业文化，得5分；否则相应扣分。</w:t>
            </w:r>
          </w:p>
        </w:tc>
        <w:tc>
          <w:tcPr>
            <w:tcW w:w="5278" w:type="dxa"/>
            <w:tcBorders>
              <w:top w:val="single" w:color="auto" w:sz="6" w:space="0"/>
            </w:tcBorders>
            <w:vAlign w:val="center"/>
          </w:tcPr>
          <w:p>
            <w:pPr>
              <w:jc w:val="left"/>
              <w:rPr>
                <w:rFonts w:ascii="Times New Roman" w:hAnsi="Times New Roman" w:eastAsia="仿宋_GB2312" w:cs="Times New Roman"/>
                <w:kern w:val="2"/>
                <w:sz w:val="24"/>
                <w:szCs w:val="24"/>
                <w:lang w:val="en-US" w:eastAsia="zh-CN" w:bidi="ar-SA"/>
              </w:rPr>
            </w:pPr>
            <w:r>
              <w:rPr>
                <w:rFonts w:ascii="Times New Roman" w:hAnsi="Times New Roman" w:eastAsia="仿宋_GB2312"/>
                <w:sz w:val="24"/>
                <w:szCs w:val="24"/>
              </w:rPr>
              <w:t>未开展诚信守法教育活动，无相关材料，每发现一次，扣0.5分。</w:t>
            </w:r>
          </w:p>
        </w:tc>
        <w:tc>
          <w:tcPr>
            <w:tcW w:w="995" w:type="dxa"/>
            <w:tcBorders>
              <w:top w:val="single" w:color="auto" w:sz="6" w:space="0"/>
            </w:tcBorders>
            <w:vAlign w:val="center"/>
          </w:tcPr>
          <w:p>
            <w:pPr>
              <w:spacing w:line="280" w:lineRule="exact"/>
              <w:jc w:val="left"/>
              <w:rPr>
                <w:rFonts w:ascii="Times New Roman" w:hAnsi="Times New Roman" w:eastAsia="仿宋_GB2312"/>
                <w:sz w:val="24"/>
                <w:szCs w:val="24"/>
              </w:rPr>
            </w:pPr>
          </w:p>
        </w:tc>
        <w:tc>
          <w:tcPr>
            <w:tcW w:w="3066" w:type="dxa"/>
            <w:tcBorders>
              <w:top w:val="single" w:color="auto" w:sz="6" w:space="0"/>
            </w:tcBorders>
            <w:vAlign w:val="center"/>
          </w:tcPr>
          <w:p>
            <w:pPr>
              <w:spacing w:line="280" w:lineRule="exact"/>
              <w:jc w:val="left"/>
              <w:rPr>
                <w:rFonts w:ascii="Times New Roman" w:hAnsi="Times New Roman" w:eastAsia="仿宋_GB2312"/>
                <w:sz w:val="24"/>
                <w:szCs w:val="24"/>
              </w:rPr>
            </w:pPr>
          </w:p>
        </w:tc>
      </w:tr>
    </w:tbl>
    <w:p>
      <w:pPr>
        <w:spacing w:beforeLines="50" w:line="360" w:lineRule="exact"/>
        <w:jc w:val="left"/>
        <w:rPr>
          <w:rFonts w:hint="default" w:ascii="Times New Roman" w:hAnsi="Times New Roman" w:eastAsia="楷体_GB2312"/>
          <w:sz w:val="24"/>
          <w:szCs w:val="24"/>
          <w:lang w:val="en-US" w:eastAsia="zh-CN"/>
        </w:rPr>
      </w:pPr>
      <w:r>
        <w:rPr>
          <w:rFonts w:hint="eastAsia" w:ascii="Times New Roman" w:hAnsi="Times New Roman" w:eastAsia="楷体_GB2312"/>
          <w:sz w:val="24"/>
          <w:szCs w:val="24"/>
          <w:lang w:val="en-US" w:eastAsia="zh-CN"/>
        </w:rPr>
        <w:t>检查人员签字：                                               被检查单位签字：</w:t>
      </w:r>
    </w:p>
    <w:p>
      <w:pPr>
        <w:spacing w:beforeLines="50" w:line="360" w:lineRule="exact"/>
        <w:jc w:val="left"/>
        <w:rPr>
          <w:rFonts w:hint="eastAsia" w:ascii="Times New Roman" w:hAnsi="Times New Roman" w:eastAsia="楷体_GB2312"/>
          <w:sz w:val="28"/>
          <w:szCs w:val="28"/>
        </w:rPr>
      </w:pPr>
      <w:r>
        <w:rPr>
          <w:rFonts w:hint="eastAsia" w:ascii="Times New Roman" w:hAnsi="Times New Roman" w:eastAsia="楷体_GB2312"/>
          <w:sz w:val="28"/>
          <w:szCs w:val="28"/>
        </w:rPr>
        <w:t>注：</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1.根据《市场监管总局关于全面推进“双随机、一公开”监管工作的通知》，在发挥“双随机、一公开”监管日常性、基础性作用的同时，对涉及重点领域食品药品、产品质量安全和特种设备安全，未列入抽查事项清单的事项，按照现有方式严格监管。重点检查属于有因检查类型，根据抽检情况、舆情反映、投诉举报等线索，对相关食品经营者开展的有针对性的监督检查。其中，监督检查事项，具体包括以下工作：（1）要对属地食品生产企业进行食品安全风险分级，明确企业风险等级，一般风险指的是低风险；（2）根据风险分级情况合理确定监督检查频次、检查方式和检查要求；（3）监督检查实施主体根据各地监管事权划分确定。</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2.“（55）食品生产经营企业建立健全食品安全管理制度，设置食品质量安全管理岗位，加大食品质量安全管理投入”中，（1）“加大食品安全管理投入”包括但不限于用于改进食品安全风险管控的设备设施、追溯体系信息化建设、食品安全管理人员培训、实验室建设等。（2）食品生产企业食品安全管理制度，主要为食品安全法及其实施条例规定的企业需要建立的相关制度。</w:t>
      </w:r>
    </w:p>
    <w:p>
      <w:pPr>
        <w:spacing w:beforeLines="50" w:line="360" w:lineRule="exact"/>
        <w:jc w:val="left"/>
        <w:rPr>
          <w:rFonts w:hint="eastAsia" w:ascii="Times New Roman" w:hAnsi="Times New Roman" w:eastAsia="楷体_GB2312"/>
          <w:sz w:val="24"/>
          <w:szCs w:val="24"/>
        </w:rPr>
      </w:pPr>
      <w:r>
        <w:rPr>
          <w:rFonts w:hint="eastAsia" w:ascii="Times New Roman" w:hAnsi="Times New Roman" w:eastAsia="楷体_GB2312"/>
          <w:sz w:val="24"/>
          <w:szCs w:val="24"/>
        </w:rPr>
        <w:t>3.“（56）食品生产经营企业定期对从业人员及食品质量安全管理岗位人员开展培训考核，本地区食品生产经营单位负责人、食品质量安全管理岗位人员每年参加食品质量安全法律法规等集中培训不低于40学时，监督抽查考核合格率达到95%以上”中，“集中培训”包括但不限于各级监管部门、行业组织、企业组织的相对集中的食品安全法律法规等培训。</w:t>
      </w:r>
    </w:p>
    <w:p>
      <w:pPr>
        <w:spacing w:beforeLines="50" w:line="360" w:lineRule="exact"/>
        <w:jc w:val="left"/>
        <w:rPr>
          <w:rFonts w:ascii="Times New Roman" w:hAnsi="Times New Roman" w:eastAsia="楷体_GB2312"/>
          <w:sz w:val="24"/>
          <w:szCs w:val="24"/>
        </w:rPr>
      </w:pPr>
      <w:r>
        <w:rPr>
          <w:rFonts w:hint="eastAsia" w:ascii="Times New Roman" w:hAnsi="Times New Roman" w:eastAsia="楷体_GB2312"/>
          <w:sz w:val="24"/>
          <w:szCs w:val="24"/>
        </w:rPr>
        <w:t>4.“（58）食品生产经营者依法对食品安全责任落实情况、食品安全状况进行自评自查，主动监测其上市产品质量安全状况，对存在隐患及时采取风险控制措施”中，主动监测的措施包括但不限于：企业自行检验检测、委托第三方检验评价、消费者调查、消费者投诉等。</w:t>
      </w:r>
    </w:p>
    <w:sectPr>
      <w:footerReference r:id="rId3" w:type="default"/>
      <w:pgSz w:w="16838" w:h="11906" w:orient="landscape"/>
      <w:pgMar w:top="1179" w:right="1440" w:bottom="1179"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4"/>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6731D6"/>
    <w:rsid w:val="0B705F30"/>
    <w:rsid w:val="0ECB5EE2"/>
    <w:rsid w:val="1C7A3BD0"/>
    <w:rsid w:val="451C0458"/>
    <w:rsid w:val="49046A73"/>
    <w:rsid w:val="58C51823"/>
    <w:rsid w:val="5C00473A"/>
    <w:rsid w:val="69AC431C"/>
    <w:rsid w:val="70EF01E1"/>
    <w:rsid w:val="790078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semiHidden/>
    <w:qFormat/>
    <w:uiPriority w:val="0"/>
    <w:pPr>
      <w:ind w:firstLine="420" w:firstLineChars="200"/>
    </w:pPr>
  </w:style>
  <w:style w:type="paragraph" w:styleId="3">
    <w:name w:val="Body Text Indent"/>
    <w:basedOn w:val="1"/>
    <w:semiHidden/>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Administrator.SC-201902141428</dc:creator>
  <cp:lastModifiedBy>黄小短</cp:lastModifiedBy>
  <dcterms:modified xsi:type="dcterms:W3CDTF">2022-01-19T04:10:28Z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949D40B8F0424EB4BD8DE592FC7D9B03</vt:lpwstr>
  </property>
</Properties>
</file>