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w:t>
      </w:r>
      <w:r>
        <w:rPr>
          <w:rFonts w:hint="eastAsia" w:ascii="Times New Roman" w:hAnsi="Times New Roman" w:eastAsia="方正小标宋简体"/>
          <w:sz w:val="36"/>
          <w:szCs w:val="36"/>
          <w:lang w:eastAsia="zh-CN"/>
        </w:rPr>
        <w:t>—</w:t>
      </w:r>
      <w:r>
        <w:rPr>
          <w:rFonts w:hint="eastAsia" w:ascii="Times New Roman" w:hAnsi="Times New Roman" w:eastAsia="方正小标宋简体"/>
          <w:sz w:val="36"/>
          <w:szCs w:val="36"/>
          <w:lang w:val="en-US" w:eastAsia="zh-CN"/>
        </w:rPr>
        <w:t>医疗机构食堂</w:t>
      </w:r>
      <w:bookmarkStart w:id="0" w:name="_GoBack"/>
      <w:bookmarkEnd w:id="0"/>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restart"/>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存在与经营的食品品种、数量不相适应的场所、设施、设备，生产加工场所环境卫生差等情况，扣0.5分。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存在未定期维护食品加工、贮存等设施、设备情况，扣0.5分。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存在未严格执行食品、食品添加剂及食品相关产品控制要求，采购不符合食品安全标准的食品、食品添加剂及食品相关产品情况，扣0.5分。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存在未对原料采购至成品供应的全过程实施食品安全管理，未采取有效措施，避免交叉污染情况，扣0.5分。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未按规定配备专兼职食品安全管理员，存在从业人员缺乏食品安全和质量意识，加工制作行为不符合食品安全法律法规要求情况，扣0.5分。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存在中央厨房、集体配餐单位配送食品的贮存不当，容器材料不符合食品安全国家标准或有关规定或者未按要求标识信息或信息不全等情况，扣0.5分。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黑体"/>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存在中央厨房、集体配餐单位以及养老机构食堂、医疗机构食堂等餐饮服务提供者（集体聚餐人数超过100人或为重大活动供餐），每餐次的食品成品未按要求留样，或者未做留样记录情况，扣0.5分。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存在中央厨房、集体配餐单位未制定检验检测计划，未定期对大宗食品原料、加工制作环境等自行或委托具有资质的第三方机构进行检验检测情况，扣0.5分。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未按规定落实食品安全自查制度，未定期开展食品安全自查，扣0.5分。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根据当地住建部门提供的餐厨垃圾集中收集处置餐饮单位名单，未实现餐厨垃圾集中收集处置的，扣0.5分。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未见餐厨垃圾收集处置信息定期向社会公示，或者公示信息不全的，扣0.5分。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restart"/>
            <w:tcBorders>
              <w:top w:val="single" w:color="auto" w:sz="6" w:space="0"/>
              <w:bottom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从事网络订餐服务，但网络订餐平台入网餐饮服务经营者的食品经营许可证登记信息与实际不一致，扣0.5分。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从事网络订餐服务，但网络订餐平台入网餐饮服务经营者超范围经营，扣0.5分。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1C7A3BD0"/>
    <w:rsid w:val="451C0458"/>
    <w:rsid w:val="49046A73"/>
    <w:rsid w:val="69AC431C"/>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2021-08-11T09:08:22Z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