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ascii="Times New Roman" w:hAnsi="Times New Roman" w:eastAsia="方正小标宋简体"/>
          <w:sz w:val="36"/>
          <w:szCs w:val="36"/>
        </w:rPr>
        <w:t>餐饮服务单位</w:t>
      </w:r>
      <w:r>
        <w:rPr>
          <w:rFonts w:hint="eastAsia" w:ascii="Times New Roman" w:hAnsi="Times New Roman" w:eastAsia="方正小标宋简体"/>
          <w:sz w:val="36"/>
          <w:szCs w:val="36"/>
          <w:lang w:eastAsia="zh-CN"/>
        </w:rPr>
        <w:t>—</w:t>
      </w:r>
      <w:r>
        <w:rPr>
          <w:rFonts w:hint="eastAsia" w:ascii="Times New Roman" w:hAnsi="Times New Roman" w:eastAsia="方正小标宋简体"/>
          <w:sz w:val="36"/>
          <w:szCs w:val="36"/>
          <w:lang w:val="en-US" w:eastAsia="zh-CN"/>
        </w:rPr>
        <w:t>中央厨房</w:t>
      </w:r>
      <w:r>
        <w:rPr>
          <w:rFonts w:ascii="Times New Roman" w:hAnsi="Times New Roman" w:eastAsia="方正小标宋简体"/>
          <w:sz w:val="36"/>
          <w:szCs w:val="36"/>
        </w:rPr>
        <w:t>明查打分</w:t>
      </w:r>
      <w:r>
        <w:rPr>
          <w:rFonts w:hint="eastAsia" w:ascii="Times New Roman" w:hAnsi="Times New Roman" w:eastAsia="方正小标宋简体"/>
          <w:sz w:val="36"/>
          <w:szCs w:val="36"/>
        </w:rPr>
        <w:t>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3404"/>
        <w:gridCol w:w="5278"/>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3404"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5278"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restart"/>
            <w:vAlign w:val="center"/>
          </w:tcPr>
          <w:p>
            <w:pPr>
              <w:spacing w:line="24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3404"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（21）对食品生产经营者全面实行食品安全风险分级动态管理，得2分；否则相应扣分。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在日常监督检查全覆盖基础上，对一般风险生产企业实施按比例“双随机”抽查，对高风险企业实施重点检查，对问题线索企业实施飞行检查，督促企业生产经营过程持续合规，得3分；否则相应扣分。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根据风险分级，核实年度时间内监督检查频次，未满足频次要求或动态管理的，每发现一次，扣0.5分。</w:t>
            </w:r>
          </w:p>
        </w:tc>
        <w:tc>
          <w:tcPr>
            <w:tcW w:w="995" w:type="dxa"/>
            <w:tcBorders>
              <w:top w:val="single" w:color="auto" w:sz="6" w:space="0"/>
            </w:tcBorders>
            <w:vAlign w:val="center"/>
          </w:tcPr>
          <w:p>
            <w:pPr>
              <w:jc w:val="left"/>
              <w:rPr>
                <w:rFonts w:ascii="Times New Roman" w:hAnsi="Times New Roman" w:eastAsia="仿宋_GB2312"/>
                <w:sz w:val="24"/>
                <w:szCs w:val="24"/>
              </w:rPr>
            </w:pPr>
          </w:p>
        </w:tc>
        <w:tc>
          <w:tcPr>
            <w:tcW w:w="3066" w:type="dxa"/>
            <w:tcBorders>
              <w:top w:val="single" w:color="auto" w:sz="6" w:space="0"/>
            </w:tcBorders>
            <w:vAlign w:val="center"/>
          </w:tcPr>
          <w:p>
            <w:pPr>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（28）严格执行关于全面禁止非法野生动物交易、长江流域禁捕、反食品浪费等有关规定，得3分；否则不得分。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发现未落实全面禁止非法野生动物交易、长江流域禁捕、反食品浪费等有关规定的，扣3分。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spacing w:line="240" w:lineRule="exact"/>
              <w:jc w:val="center"/>
              <w:rPr>
                <w:rFonts w:ascii="Times New Roman" w:hAnsi="Times New Roman" w:eastAsia="仿宋_GB2312"/>
                <w:sz w:val="24"/>
                <w:szCs w:val="24"/>
              </w:rPr>
            </w:pPr>
            <w:r>
              <w:rPr>
                <w:rFonts w:ascii="Times New Roman" w:hAnsi="Times New Roman" w:eastAsia="仿宋_GB2312"/>
                <w:sz w:val="24"/>
                <w:szCs w:val="24"/>
              </w:rPr>
              <w:t>10.集中整治</w:t>
            </w:r>
          </w:p>
        </w:tc>
        <w:tc>
          <w:tcPr>
            <w:tcW w:w="3404"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36）集中整治网络餐饮安全，农村假冒伪劣食品，非法添加，农兽药残留超标，保健食品行业违法生产经营和营销、欺诈误导消费，未成年人食品安全监管等群众关注的突出问题，取得显著成效，得10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未采取有效措施开展集中整治，每发现一次，扣2分。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11.社会共治</w:t>
            </w:r>
          </w:p>
        </w:tc>
        <w:tc>
          <w:tcPr>
            <w:tcW w:w="3404"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512" w:type="dxa"/>
            <w:vMerge w:val="restart"/>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r>
              <w:rPr>
                <w:rFonts w:ascii="Times New Roman" w:hAnsi="Times New Roman" w:eastAsia="仿宋_GB2312"/>
                <w:sz w:val="24"/>
                <w:szCs w:val="24"/>
              </w:rPr>
              <w:t>19.管理责任</w:t>
            </w:r>
          </w:p>
        </w:tc>
        <w:tc>
          <w:tcPr>
            <w:tcW w:w="3404" w:type="dxa"/>
            <w:vMerge w:val="restart"/>
            <w:vAlign w:val="center"/>
          </w:tcPr>
          <w:p>
            <w:pPr>
              <w:jc w:val="left"/>
              <w:rPr>
                <w:rFonts w:ascii="Times New Roman" w:hAnsi="Times New Roman" w:eastAsia="仿宋_GB2312"/>
                <w:sz w:val="24"/>
                <w:szCs w:val="24"/>
              </w:rPr>
            </w:pPr>
            <w:r>
              <w:rPr>
                <w:rFonts w:ascii="Times New Roman" w:hAnsi="Times New Roman" w:eastAsia="仿宋_GB2312"/>
                <w:sz w:val="24"/>
                <w:szCs w:val="24"/>
              </w:rPr>
              <w:t>（55）食品生产经营企业建立健全食品安全管理制度，设置食品质量安全管理岗位，加大食品质量安全管理投入，得5分；否则相应扣分。</w:t>
            </w: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未健全食品安全管理制度，设置食品质量安全管理岗位，扣0.5分。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未体现食品质量安全管理投入，扣0.5分。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黑体"/>
                <w:sz w:val="24"/>
                <w:szCs w:val="24"/>
              </w:rPr>
            </w:pPr>
          </w:p>
        </w:tc>
        <w:tc>
          <w:tcPr>
            <w:tcW w:w="3404" w:type="dxa"/>
            <w:vMerge w:val="restart"/>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得5分；否则相应扣分。</w:t>
            </w: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未明确食品安全管理人员，扣0.5分。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未定期对从业人员及食品安全管理人员开展培训考核，扣0.5分。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食品质量安全管理岗位人员的法规知识抽查合格率低于95%，扣0.5分。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jc w:val="center"/>
              <w:rPr>
                <w:rFonts w:ascii="Times New Roman" w:hAnsi="Times New Roman" w:eastAsia="仿宋_GB2312"/>
                <w:sz w:val="24"/>
                <w:szCs w:val="24"/>
              </w:rPr>
            </w:pPr>
            <w:r>
              <w:rPr>
                <w:rFonts w:ascii="Times New Roman" w:hAnsi="Times New Roman" w:eastAsia="仿宋_GB2312"/>
                <w:sz w:val="24"/>
                <w:szCs w:val="24"/>
              </w:rPr>
              <w:t>20.过程控制</w:t>
            </w:r>
          </w:p>
        </w:tc>
        <w:tc>
          <w:tcPr>
            <w:tcW w:w="3404" w:type="dxa"/>
            <w:vMerge w:val="restart"/>
            <w:vAlign w:val="center"/>
          </w:tcPr>
          <w:p>
            <w:pPr>
              <w:rPr>
                <w:rFonts w:ascii="Times New Roman" w:hAnsi="Times New Roman" w:eastAsia="仿宋_GB2312"/>
                <w:sz w:val="24"/>
                <w:szCs w:val="24"/>
              </w:rPr>
            </w:pPr>
            <w:r>
              <w:rPr>
                <w:rFonts w:ascii="Times New Roman" w:hAnsi="Times New Roman" w:eastAsia="仿宋_GB2312"/>
                <w:sz w:val="24"/>
                <w:szCs w:val="24"/>
              </w:rPr>
              <w:t>（58）食品生产经营者依法对食品安全责任落实情况、食品安全状况进行自评自查，主动监测其上市产品质量安全状况，对存在隐患及时采取风险控制措施，得3分；否则相应扣分。</w:t>
            </w:r>
          </w:p>
          <w:p>
            <w:pPr>
              <w:ind w:firstLine="480" w:firstLineChars="200"/>
              <w:rPr>
                <w:rFonts w:ascii="Times New Roman" w:hAnsi="Times New Roman" w:eastAsia="仿宋_GB2312"/>
                <w:sz w:val="24"/>
                <w:szCs w:val="24"/>
              </w:rPr>
            </w:pPr>
            <w:r>
              <w:rPr>
                <w:rFonts w:ascii="Times New Roman" w:hAnsi="Times New Roman" w:eastAsia="仿宋_GB2312"/>
                <w:sz w:val="24"/>
                <w:szCs w:val="24"/>
              </w:rPr>
              <w:t>食品生产企业自查风险报告率达到100%，得1分；否则不得分。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接触直接入口食品的从业人员持有效健康证明上岗，生产加工经营过程严格执行食品生产经营安全相关规范要求，得2分；否则相应扣分。</w:t>
            </w: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未依法对食品安全责任落实情况、食品安全状况进行自评自查，每发现一次，扣0.5分。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自查和监督检查发现问题整改率达不到100%，每发现一次，扣0.5分。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从事接触直接入口食品工作的人员未取得健康证明，每发现一次，扣0.5分。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restart"/>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（64）餐饮服务单位严格执行餐饮服务食品安全操作规范，经营过程、场所环境、人员管理等符合相关规定，餐厨垃圾集中收集处置，得3分；否则相应扣分。</w:t>
            </w:r>
          </w:p>
          <w:p>
            <w:pPr>
              <w:snapToGrid w:val="0"/>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发展连锁经营和中央厨房，快餐、团餐等大众餐饮服务规范，餐饮行业标准化水平提升，得2分；否则相应扣分。</w:t>
            </w: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存在与经营的食品品种、数量不相适应的场所、设施、设备，生产加工场所环境卫生差等情况，扣0.5分。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widowControl/>
              <w:snapToGrid w:val="0"/>
              <w:spacing w:line="240" w:lineRule="exact"/>
              <w:jc w:val="center"/>
              <w:rPr>
                <w:rFonts w:ascii="Times New Roman" w:hAnsi="Times New Roman" w:eastAsia="仿宋_GB2312"/>
                <w:sz w:val="24"/>
                <w:szCs w:val="24"/>
              </w:rPr>
            </w:pPr>
          </w:p>
        </w:tc>
        <w:tc>
          <w:tcPr>
            <w:tcW w:w="3404" w:type="dxa"/>
            <w:vMerge w:val="continue"/>
            <w:vAlign w:val="center"/>
          </w:tcPr>
          <w:p>
            <w:pPr>
              <w:widowControl/>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存在未定期维护食品加工、贮存等设施、设备情况，扣0.5分。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widowControl/>
              <w:snapToGrid w:val="0"/>
              <w:spacing w:line="240" w:lineRule="exact"/>
              <w:jc w:val="center"/>
              <w:rPr>
                <w:rFonts w:ascii="Times New Roman" w:hAnsi="Times New Roman" w:eastAsia="仿宋_GB2312"/>
                <w:sz w:val="24"/>
                <w:szCs w:val="24"/>
              </w:rPr>
            </w:pPr>
          </w:p>
        </w:tc>
        <w:tc>
          <w:tcPr>
            <w:tcW w:w="3404" w:type="dxa"/>
            <w:vMerge w:val="continue"/>
            <w:vAlign w:val="center"/>
          </w:tcPr>
          <w:p>
            <w:pPr>
              <w:widowControl/>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存在未严格执行食品、食品添加剂及食品相关产品控制要求，采购不符合食品安全标准的食品、食品添加剂及食品相关产品情况，扣0.5分。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存在未对原料采购至成品供应的全过程实施食品安全管理，未采取有效措施，避免交叉污染情况，扣0.5分。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snapToGrid w:val="0"/>
              <w:jc w:val="left"/>
              <w:rPr>
                <w:rFonts w:ascii="Times New Roman" w:hAnsi="Times New Roman" w:eastAsia="黑体"/>
                <w:sz w:val="24"/>
                <w:szCs w:val="24"/>
              </w:rPr>
            </w:pPr>
            <w:r>
              <w:rPr>
                <w:rFonts w:ascii="Times New Roman" w:hAnsi="Times New Roman" w:eastAsia="仿宋_GB2312"/>
                <w:sz w:val="24"/>
                <w:szCs w:val="24"/>
              </w:rPr>
              <w:t>未按规定配备专兼职食品安全管理员，存在从业人员缺乏食品安全和质量意识，加工制作行为不符合食品安全法律法规要求情况，扣0.5分。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snapToGrid w:val="0"/>
              <w:jc w:val="left"/>
              <w:rPr>
                <w:rFonts w:ascii="Times New Roman" w:hAnsi="Times New Roman" w:eastAsia="黑体"/>
                <w:sz w:val="24"/>
                <w:szCs w:val="24"/>
              </w:rPr>
            </w:pPr>
            <w:r>
              <w:rPr>
                <w:rFonts w:ascii="Times New Roman" w:hAnsi="Times New Roman" w:eastAsia="仿宋_GB2312"/>
                <w:sz w:val="24"/>
                <w:szCs w:val="24"/>
              </w:rPr>
              <w:t>存在中央厨房、集体配餐单位配送食品的贮存不当，容器材料不符合食品安全国家标准或有关规定或者未按要求标识信息或信息不全等情况，扣0.5分。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tcBorders>
            <w:vAlign w:val="center"/>
          </w:tcPr>
          <w:p>
            <w:pPr>
              <w:snapToGrid w:val="0"/>
              <w:jc w:val="left"/>
              <w:rPr>
                <w:rFonts w:ascii="Times New Roman" w:hAnsi="Times New Roman" w:eastAsia="黑体"/>
                <w:sz w:val="24"/>
                <w:szCs w:val="24"/>
              </w:rPr>
            </w:pPr>
          </w:p>
        </w:tc>
        <w:tc>
          <w:tcPr>
            <w:tcW w:w="5278" w:type="dxa"/>
            <w:tcBorders>
              <w:top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未设置餐饮具消毒设施或未有效使用，扣0.5分。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存在中央厨房、集体配餐单位以及养老机构食堂、医疗机构食堂等餐饮服务提供者（集体聚餐人数超过100人或为重大活动供餐），每餐次的食品成品未按要求留样，或者未做留样记录情况，扣0.5分。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4"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存在中央厨房、集体配餐单位未制定检验检测计划，未定期对大宗食品原料、加工制作环境等自行或委托具有资质的第三方机构进行检验检测情况，扣0.5分。</w:t>
            </w:r>
          </w:p>
        </w:tc>
        <w:tc>
          <w:tcPr>
            <w:tcW w:w="995" w:type="dxa"/>
            <w:tcBorders>
              <w:top w:val="single" w:color="auto" w:sz="4"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4"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未按规定落实食品安全自查制度，未定期开展食品安全自查，扣0.5分。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根据当地住建部门提供的餐厨垃圾集中收集处置餐饮单位名单，未实现餐厨垃圾集中收集处置的，扣0.5分。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未见餐厨垃圾收集处置信息定期向社会公示，或者公示信息不全的，扣0.5分。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未在显著位置悬挂营业执照或食品经营许可证的，扣0.5分。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vMerge w:val="restart"/>
            <w:tcBorders>
              <w:top w:val="single" w:color="auto" w:sz="6" w:space="0"/>
              <w:bottom w:val="single" w:color="auto" w:sz="6" w:space="0"/>
            </w:tcBorders>
            <w:vAlign w:val="center"/>
          </w:tcPr>
          <w:p>
            <w:pPr>
              <w:rPr>
                <w:rFonts w:ascii="Times New Roman" w:hAnsi="Times New Roman" w:eastAsia="仿宋_GB2312"/>
                <w:sz w:val="24"/>
                <w:szCs w:val="24"/>
              </w:rPr>
            </w:pPr>
            <w:r>
              <w:rPr>
                <w:rFonts w:ascii="Times New Roman" w:hAnsi="Times New Roman" w:eastAsia="仿宋_GB2312"/>
                <w:sz w:val="24"/>
                <w:szCs w:val="24"/>
              </w:rPr>
              <w:t>（69）网络订餐第三方平台落实食品安全自查制度，对入网餐饮服务经营者进行实名登记、入网审查、信息公示和抽查监测等，得2分；否则相应扣分。</w:t>
            </w:r>
          </w:p>
          <w:p>
            <w:pPr>
              <w:ind w:firstLine="480" w:firstLineChars="200"/>
              <w:rPr>
                <w:rFonts w:ascii="Times New Roman" w:hAnsi="Times New Roman" w:eastAsia="仿宋_GB2312"/>
                <w:sz w:val="24"/>
                <w:szCs w:val="24"/>
              </w:rPr>
            </w:pPr>
            <w:r>
              <w:rPr>
                <w:rFonts w:ascii="Times New Roman" w:hAnsi="Times New Roman" w:eastAsia="仿宋_GB2312"/>
                <w:sz w:val="24"/>
                <w:szCs w:val="24"/>
              </w:rPr>
              <w:t>完善网络订餐在线投诉和售后维权机制，得2分；否则不得分。</w:t>
            </w:r>
          </w:p>
          <w:p>
            <w:pPr>
              <w:ind w:firstLine="480" w:firstLineChars="200"/>
              <w:rPr>
                <w:rFonts w:ascii="Times New Roman" w:hAnsi="Times New Roman" w:eastAsia="仿宋_GB2312"/>
                <w:sz w:val="24"/>
                <w:szCs w:val="24"/>
              </w:rPr>
            </w:pPr>
            <w:r>
              <w:rPr>
                <w:rFonts w:ascii="Times New Roman" w:hAnsi="Times New Roman" w:eastAsia="仿宋_GB2312"/>
                <w:sz w:val="24"/>
                <w:szCs w:val="24"/>
              </w:rPr>
              <w:t>严格落实广告发布责任和要求，得2分；否则不得分。</w:t>
            </w:r>
          </w:p>
        </w:tc>
        <w:tc>
          <w:tcPr>
            <w:tcW w:w="5278"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从事网络订餐服务，但网络订餐平台入网餐饮服务经营者的食品经营许可证登记信息与实际不一致，扣0.5分。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从事网络订餐服务，但网络订餐平台入网餐饮服务经营者超范围经营，扣0.5分。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jc w:val="center"/>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23.诚信文化</w:t>
            </w:r>
          </w:p>
        </w:tc>
        <w:tc>
          <w:tcPr>
            <w:tcW w:w="3404" w:type="dxa"/>
            <w:tcBorders>
              <w:top w:val="single" w:color="auto" w:sz="6" w:space="0"/>
            </w:tcBorders>
            <w:vAlign w:val="center"/>
          </w:tcPr>
          <w:p>
            <w:pPr>
              <w:widowControl/>
              <w:adjustRightInd w:val="0"/>
              <w:snapToGrid w:val="0"/>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（72）食品生产经营企业开展诚信守法教育活动，建立诚信守法经营的企业文化，得5分；否则相应扣分。</w:t>
            </w:r>
          </w:p>
        </w:tc>
        <w:tc>
          <w:tcPr>
            <w:tcW w:w="5278" w:type="dxa"/>
            <w:tcBorders>
              <w:top w:val="single" w:color="auto" w:sz="6" w:space="0"/>
            </w:tcBorders>
            <w:vAlign w:val="center"/>
          </w:tcPr>
          <w:p>
            <w:pPr>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未开展诚信守法教育活动，无相关材料，每发现一次，扣0.5分。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检查人员签字：                                               被检查单位签字：</w:t>
      </w:r>
    </w:p>
    <w:p>
      <w:pPr>
        <w:spacing w:beforeLines="50" w:line="360" w:lineRule="exact"/>
        <w:jc w:val="left"/>
        <w:rPr>
          <w:rFonts w:hint="eastAsia"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重点检查属于有因检查类型，根据抽检情况、舆情反映、投诉举报等线索，对相关食品经营者开展的有针对性的监督检查。其中，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2.“（55）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3.“（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ascii="Times New Roman" w:hAnsi="Times New Roman" w:eastAsia="楷体_GB2312"/>
          <w:sz w:val="24"/>
          <w:szCs w:val="24"/>
        </w:rPr>
      </w:pPr>
      <w:r>
        <w:rPr>
          <w:rFonts w:hint="eastAsia" w:ascii="Times New Roman" w:hAnsi="Times New Roman" w:eastAsia="楷体_GB2312"/>
          <w:sz w:val="24"/>
          <w:szCs w:val="24"/>
        </w:rPr>
        <w:t>4.“（58）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bookmarkStart w:id="0" w:name="_GoBack"/>
      <w:bookmarkEnd w:id="0"/>
      <w:r>
        <w:rPr>
          <w:rFonts w:hint="eastAsia" w:ascii="Times New Roman" w:hAnsi="Times New Roman" w:eastAsia="楷体_GB2312"/>
          <w:sz w:val="24"/>
          <w:szCs w:val="24"/>
        </w:rPr>
        <w:t>。</w:t>
      </w:r>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0ECB5EE2"/>
    <w:rsid w:val="451C0458"/>
    <w:rsid w:val="49046A73"/>
    <w:rsid w:val="70EF0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~阳光D海岸~</cp:lastModifiedBy>
  <dcterms:modified xsi:type="dcterms:W3CDTF">2021-08-11T09:06:31Z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949D40B8F0424EB4BD8DE592FC7D9B03</vt:lpwstr>
  </property>
</Properties>
</file>