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hint="eastAsia" w:ascii="Times New Roman" w:hAnsi="Times New Roman" w:eastAsia="方正小标宋简体"/>
          <w:sz w:val="36"/>
          <w:szCs w:val="36"/>
        </w:rPr>
        <w:t>保健食品生产企业明查打分表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cs="Times New Roman"/>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cs="Times New Roman"/>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rPr>
                <w:rFonts w:ascii="Times New Roman" w:hAnsi="Times New Roman" w:eastAsia="仿宋_GB2312"/>
                <w:sz w:val="24"/>
                <w:szCs w:val="24"/>
              </w:rPr>
            </w:pPr>
            <w:r>
              <w:rPr>
                <w:rFonts w:ascii="Times New Roman" w:hAnsi="Times New Roman" w:eastAsia="仿宋_GB2312" w:cs="Times New Roman"/>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restart"/>
            <w:tcBorders>
              <w:top w:val="single" w:color="auto" w:sz="6" w:space="0"/>
            </w:tcBorders>
            <w:vAlign w:val="center"/>
          </w:tcPr>
          <w:p>
            <w:pPr>
              <w:widowControl/>
              <w:numPr>
                <w:ilvl w:val="255"/>
                <w:numId w:val="0"/>
              </w:numPr>
              <w:rPr>
                <w:rFonts w:ascii="Times New Roman" w:hAnsi="Times New Roman" w:eastAsia="仿宋_GB2312" w:cs="Times New Roman"/>
                <w:sz w:val="24"/>
                <w:szCs w:val="24"/>
              </w:rPr>
            </w:pPr>
            <w:r>
              <w:rPr>
                <w:rFonts w:ascii="Times New Roman" w:hAnsi="Times New Roman" w:eastAsia="仿宋_GB2312" w:cs="Times New Roman"/>
                <w:sz w:val="24"/>
                <w:szCs w:val="24"/>
              </w:rPr>
              <w:t>（25）保健食品生产企业体系检查年度覆盖率达到辖区内保健食品生产企业总数的20%以上，得2分；否则相应扣分。</w:t>
            </w:r>
          </w:p>
          <w:p>
            <w:pPr>
              <w:widowControl/>
              <w:ind w:firstLine="480" w:firstLineChars="200"/>
              <w:rPr>
                <w:rFonts w:ascii="Times New Roman" w:hAnsi="Times New Roman" w:eastAsia="仿宋_GB2312"/>
                <w:sz w:val="24"/>
                <w:szCs w:val="24"/>
              </w:rPr>
            </w:pPr>
            <w:r>
              <w:rPr>
                <w:rFonts w:ascii="Times New Roman" w:hAnsi="Times New Roman" w:eastAsia="仿宋_GB2312" w:cs="Times New Roman"/>
                <w:sz w:val="24"/>
                <w:szCs w:val="24"/>
              </w:rPr>
              <w:t>体系检查问题整改率达到100%，得2分；否则相应扣分。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保健食品生产企业体系检查年度覆盖率低于辖区内保健食品生产企业总数的20%，扣0.5分。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Merge w:val="continue"/>
            <w:vAlign w:val="top"/>
          </w:tcPr>
          <w:p>
            <w:pPr>
              <w:widowControl/>
              <w:jc w:val="center"/>
              <w:rPr>
                <w:rFonts w:ascii="Times New Roman" w:hAnsi="Times New Roman" w:eastAsia="仿宋_GB2312"/>
                <w:sz w:val="24"/>
                <w:szCs w:val="24"/>
              </w:rPr>
            </w:pPr>
          </w:p>
        </w:tc>
        <w:tc>
          <w:tcPr>
            <w:tcW w:w="52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cs="Times New Roman"/>
                <w:sz w:val="24"/>
                <w:szCs w:val="24"/>
              </w:rPr>
              <w:t>体系检查问题整改率未达到100%，扣0.5分。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napToGrid w:val="0"/>
              <w:jc w:val="center"/>
              <w:rPr>
                <w:rFonts w:ascii="Times New Roman" w:hAnsi="Times New Roman" w:eastAsia="仿宋_GB2312"/>
                <w:sz w:val="24"/>
                <w:szCs w:val="24"/>
              </w:rPr>
            </w:pPr>
            <w:r>
              <w:rPr>
                <w:rFonts w:ascii="Times New Roman" w:hAnsi="Times New Roman" w:eastAsia="仿宋_GB2312" w:cs="Times New Roman"/>
                <w:sz w:val="24"/>
                <w:szCs w:val="24"/>
              </w:rPr>
              <w:t>10.集中整治</w:t>
            </w: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cs="Times New Roman"/>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cs="Times New Roman"/>
                <w:sz w:val="24"/>
                <w:szCs w:val="24"/>
              </w:rPr>
              <w:t>11.社会共治</w:t>
            </w:r>
          </w:p>
        </w:tc>
        <w:tc>
          <w:tcPr>
            <w:tcW w:w="3404" w:type="dxa"/>
            <w:vAlign w:val="center"/>
          </w:tcPr>
          <w:p>
            <w:pPr>
              <w:snapToGrid w:val="0"/>
              <w:rPr>
                <w:rFonts w:ascii="Times New Roman" w:hAnsi="Times New Roman" w:eastAsia="仿宋_GB2312" w:cs="Times New Roman"/>
                <w:sz w:val="24"/>
                <w:szCs w:val="24"/>
              </w:rPr>
            </w:pPr>
            <w:r>
              <w:rPr>
                <w:rFonts w:ascii="Times New Roman" w:hAnsi="Times New Roman" w:eastAsia="仿宋_GB2312" w:cs="Times New Roman"/>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cs="Times New Roman"/>
                <w:sz w:val="24"/>
                <w:szCs w:val="24"/>
              </w:rPr>
            </w:pPr>
            <w:r>
              <w:rPr>
                <w:rFonts w:ascii="Times New Roman" w:hAnsi="Times New Roman" w:eastAsia="仿宋_GB2312" w:cs="Times New Roman"/>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cs="Times New Roman"/>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cs="Times New Roman"/>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cs="Times New Roman"/>
                <w:sz w:val="24"/>
                <w:szCs w:val="24"/>
              </w:rPr>
              <w:t>未建立健全食品安全管理制度，设置食品质量安全管理岗位，每发现一次，扣0.5分。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黑体"/>
                <w:sz w:val="24"/>
                <w:szCs w:val="24"/>
              </w:rPr>
            </w:pPr>
          </w:p>
        </w:tc>
        <w:tc>
          <w:tcPr>
            <w:tcW w:w="3404" w:type="dxa"/>
            <w:vMerge w:val="continue"/>
            <w:tcBorders>
              <w:top w:val="single" w:color="auto" w:sz="6" w:space="0"/>
            </w:tcBorders>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cs="Times New Roman"/>
                <w:sz w:val="24"/>
                <w:szCs w:val="24"/>
              </w:rPr>
              <w:t>未加大食品质量安全管理投入，扣0.5分。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cs="Times New Roman"/>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cs="Times New Roman"/>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cs="Times New Roman"/>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pStyle w:val="2"/>
              <w:ind w:left="0" w:leftChars="0" w:firstLine="0" w:firstLineChars="0"/>
              <w:jc w:val="center"/>
              <w:rPr>
                <w:rFonts w:ascii="Times New Roman" w:hAnsi="Times New Roman" w:eastAsia="仿宋_GB2312"/>
                <w:sz w:val="24"/>
                <w:szCs w:val="24"/>
              </w:rPr>
            </w:pPr>
            <w:r>
              <w:rPr>
                <w:rFonts w:ascii="Times New Roman" w:hAnsi="Times New Roman" w:eastAsia="仿宋_GB2312" w:cs="Times New Roman"/>
                <w:sz w:val="24"/>
                <w:szCs w:val="24"/>
              </w:rPr>
              <w:t>20.过程控制</w:t>
            </w:r>
          </w:p>
        </w:tc>
        <w:tc>
          <w:tcPr>
            <w:tcW w:w="3404" w:type="dxa"/>
            <w:vMerge w:val="restart"/>
            <w:vAlign w:val="center"/>
          </w:tcPr>
          <w:p>
            <w:pPr>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cs="Times New Roman"/>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cs="Times New Roman"/>
                <w:sz w:val="24"/>
                <w:szCs w:val="24"/>
              </w:rPr>
              <w:t>未依法对食品安全责任落实情况、食品安全状况进行自评自查，每发现一次，扣0.5分。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Merge w:val="continue"/>
            <w:vAlign w:val="top"/>
          </w:tcPr>
          <w:p>
            <w:pPr>
              <w:widowControl/>
              <w:jc w:val="center"/>
              <w:rPr>
                <w:rFonts w:ascii="Times New Roman" w:hAnsi="Times New Roman" w:eastAsia="仿宋_GB2312"/>
                <w:sz w:val="24"/>
                <w:szCs w:val="24"/>
              </w:rPr>
            </w:pPr>
          </w:p>
        </w:tc>
        <w:tc>
          <w:tcPr>
            <w:tcW w:w="5278"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cs="Times New Roman"/>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Merge w:val="continue"/>
            <w:vAlign w:val="top"/>
          </w:tcPr>
          <w:p>
            <w:pPr>
              <w:widowControl/>
              <w:jc w:val="center"/>
              <w:rPr>
                <w:rFonts w:ascii="Times New Roman" w:hAnsi="Times New Roman" w:eastAsia="仿宋_GB2312"/>
                <w:sz w:val="24"/>
                <w:szCs w:val="24"/>
              </w:rPr>
            </w:pPr>
          </w:p>
        </w:tc>
        <w:tc>
          <w:tcPr>
            <w:tcW w:w="5278"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cs="Times New Roman"/>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Merge w:val="continue"/>
            <w:vAlign w:val="top"/>
          </w:tcPr>
          <w:p>
            <w:pPr>
              <w:widowControl/>
              <w:jc w:val="center"/>
              <w:rPr>
                <w:rFonts w:ascii="Times New Roman" w:hAnsi="Times New Roman" w:eastAsia="仿宋_GB2312"/>
                <w:sz w:val="24"/>
                <w:szCs w:val="24"/>
              </w:rPr>
            </w:pPr>
          </w:p>
        </w:tc>
        <w:tc>
          <w:tcPr>
            <w:tcW w:w="5278" w:type="dxa"/>
            <w:tcBorders>
              <w:top w:val="single" w:color="auto" w:sz="6" w:space="0"/>
            </w:tcBorders>
            <w:vAlign w:val="center"/>
          </w:tcPr>
          <w:p>
            <w:pPr>
              <w:jc w:val="left"/>
              <w:rPr>
                <w:rFonts w:ascii="Times New Roman" w:hAnsi="Times New Roman" w:eastAsia="黑体"/>
                <w:sz w:val="24"/>
                <w:szCs w:val="24"/>
              </w:rPr>
            </w:pPr>
            <w:r>
              <w:rPr>
                <w:rFonts w:ascii="Times New Roman" w:hAnsi="Times New Roman" w:eastAsia="仿宋_GB2312" w:cs="Times New Roman"/>
                <w:sz w:val="24"/>
                <w:szCs w:val="24"/>
              </w:rPr>
              <w:t>生产加工经营过程不符合相应生产工艺和操作规范，每发现一次，扣0.5分。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widowControl/>
              <w:spacing w:line="240" w:lineRule="exact"/>
              <w:jc w:val="center"/>
              <w:rPr>
                <w:rFonts w:ascii="Times New Roman" w:hAnsi="Times New Roman" w:eastAsia="仿宋_GB2312"/>
                <w:sz w:val="24"/>
                <w:szCs w:val="24"/>
              </w:rPr>
            </w:pPr>
          </w:p>
        </w:tc>
        <w:tc>
          <w:tcPr>
            <w:tcW w:w="3404" w:type="dxa"/>
            <w:vMerge w:val="continue"/>
            <w:vAlign w:val="top"/>
          </w:tcPr>
          <w:p>
            <w:pPr>
              <w:widowControl/>
              <w:jc w:val="center"/>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cs="Times New Roman"/>
                <w:sz w:val="24"/>
                <w:szCs w:val="24"/>
              </w:rPr>
              <w:t>加工场所内环境（包括地面、排水沟、墙面、顶棚、门窗等）未保持清洁，扣0.5分。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cs="Times New Roman"/>
                <w:sz w:val="24"/>
                <w:szCs w:val="24"/>
              </w:rPr>
              <w:t>车间入口处及车间内必要处未设置更衣室，扣0.5分。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cs="Times New Roman"/>
                <w:sz w:val="24"/>
                <w:szCs w:val="24"/>
              </w:rPr>
              <w:t>设置更衣室，但未有效发挥洗手、干手和消毒作用，扣0.5分。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cs="Times New Roman"/>
                <w:sz w:val="24"/>
                <w:szCs w:val="24"/>
              </w:rPr>
              <w:t>仓库内原料、半成品、成品、包装材料未分设贮存场所、或分区码放，扣0.5分。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top"/>
          </w:tcPr>
          <w:p>
            <w:pPr>
              <w:keepNext/>
              <w:keepLines/>
              <w:widowControl/>
              <w:spacing w:before="260" w:after="260"/>
              <w:jc w:val="center"/>
              <w:rPr>
                <w:rFonts w:ascii="Times New Roman" w:hAnsi="Times New Roman" w:eastAsia="黑体"/>
                <w:sz w:val="24"/>
                <w:szCs w:val="24"/>
              </w:rPr>
            </w:pPr>
          </w:p>
        </w:tc>
        <w:tc>
          <w:tcPr>
            <w:tcW w:w="5278"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cs="Times New Roman"/>
                <w:sz w:val="24"/>
                <w:szCs w:val="24"/>
              </w:rPr>
              <w:t>未建立和保存食品原辅料、食品添加剂、食品相关产品的进货查验、索证索票、贮存、保管记录和领用出库记录，扣0.5分。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cs="Times New Roman"/>
                <w:sz w:val="24"/>
                <w:szCs w:val="24"/>
              </w:rPr>
              <w:t>未开展出厂检验，或者检验记录不真实，扣0.5分。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4" w:space="0"/>
            </w:tcBorders>
            <w:vAlign w:val="center"/>
          </w:tcPr>
          <w:p>
            <w:pPr>
              <w:widowControl/>
              <w:rPr>
                <w:rFonts w:ascii="Times New Roman" w:hAnsi="Times New Roman" w:eastAsia="仿宋_GB2312"/>
                <w:sz w:val="24"/>
                <w:szCs w:val="24"/>
              </w:rPr>
            </w:pPr>
            <w:r>
              <w:rPr>
                <w:rFonts w:ascii="Times New Roman" w:hAnsi="Times New Roman" w:eastAsia="仿宋_GB2312" w:cs="Times New Roman"/>
                <w:sz w:val="24"/>
                <w:szCs w:val="24"/>
              </w:rPr>
              <w:t>企业自查发现风险但未按规定向辖区监管部门报告的，每发现一次，扣0.5分。</w:t>
            </w:r>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PrEx>
        <w:trPr>
          <w:trHeight w:val="9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top"/>
          </w:tcPr>
          <w:p>
            <w:pPr>
              <w:keepNext/>
              <w:keepLines/>
              <w:widowControl/>
              <w:spacing w:before="260" w:after="260"/>
              <w:jc w:val="center"/>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cs="Times New Roman"/>
                <w:sz w:val="24"/>
                <w:szCs w:val="24"/>
              </w:rPr>
              <w:t>对检查发现的问题，未查找原因或未严格落实整改措施，扣0.5分。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top"/>
          </w:tcPr>
          <w:p>
            <w:pPr>
              <w:keepNext/>
              <w:keepLines/>
              <w:widowControl/>
              <w:spacing w:before="260" w:after="260" w:line="240" w:lineRule="exact"/>
              <w:jc w:val="center"/>
              <w:rPr>
                <w:rFonts w:ascii="Times New Roman" w:hAnsi="Times New Roman" w:eastAsia="仿宋_GB2312"/>
                <w:sz w:val="24"/>
                <w:szCs w:val="24"/>
              </w:rPr>
            </w:pPr>
          </w:p>
        </w:tc>
        <w:tc>
          <w:tcPr>
            <w:tcW w:w="3404" w:type="dxa"/>
            <w:tcBorders>
              <w:top w:val="single" w:color="auto" w:sz="6" w:space="0"/>
              <w:bottom w:val="single" w:color="auto" w:sz="6" w:space="0"/>
            </w:tcBorders>
            <w:vAlign w:val="center"/>
          </w:tcPr>
          <w:p>
            <w:pPr>
              <w:rPr>
                <w:rFonts w:ascii="Times New Roman" w:hAnsi="Times New Roman" w:eastAsia="仿宋_GB2312" w:cs="Times New Roman"/>
                <w:sz w:val="24"/>
                <w:szCs w:val="24"/>
              </w:rPr>
            </w:pPr>
            <w:r>
              <w:rPr>
                <w:rFonts w:ascii="Times New Roman" w:hAnsi="Times New Roman" w:eastAsia="仿宋_GB2312" w:cs="Times New Roman"/>
                <w:sz w:val="24"/>
                <w:szCs w:val="24"/>
              </w:rPr>
              <w:t>（61）特殊食品生产企业严格按照注册或备案的技术要求组织生产，产品标识标注规范，得3分；否则相应扣分。</w:t>
            </w:r>
          </w:p>
          <w:p>
            <w:pPr>
              <w:widowControl/>
              <w:adjustRightInd w:val="0"/>
              <w:snapToGrid w:val="0"/>
              <w:ind w:firstLine="480" w:firstLineChars="200"/>
              <w:jc w:val="left"/>
              <w:rPr>
                <w:rFonts w:ascii="Times New Roman" w:hAnsi="Times New Roman" w:eastAsia="仿宋_GB2312"/>
                <w:sz w:val="24"/>
                <w:szCs w:val="24"/>
              </w:rPr>
            </w:pPr>
            <w:r>
              <w:rPr>
                <w:rFonts w:ascii="Times New Roman" w:hAnsi="Times New Roman" w:eastAsia="仿宋_GB2312" w:cs="Times New Roman"/>
                <w:sz w:val="24"/>
                <w:szCs w:val="24"/>
              </w:rPr>
              <w:t>定期开展食品安全自查，自查报告率和发现问题整改率达到100%，得2分；否则相应扣分。</w:t>
            </w:r>
          </w:p>
        </w:tc>
        <w:tc>
          <w:tcPr>
            <w:tcW w:w="5278"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未严格按照注册或备案的技术要求组织生产，产品标识标注不规范，每发现一次，扣0.5分。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cs="Times New Roman"/>
                <w:sz w:val="24"/>
                <w:szCs w:val="24"/>
              </w:rPr>
              <w:t>21.产品追溯</w:t>
            </w:r>
          </w:p>
        </w:tc>
        <w:tc>
          <w:tcPr>
            <w:tcW w:w="3404" w:type="dxa"/>
            <w:vMerge w:val="restart"/>
            <w:tcBorders>
              <w:top w:val="single" w:color="auto" w:sz="6" w:space="0"/>
              <w:bottom w:val="single" w:color="auto" w:sz="6" w:space="0"/>
            </w:tcBorders>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cs="Times New Roman"/>
                <w:sz w:val="24"/>
                <w:szCs w:val="24"/>
              </w:rPr>
              <w:t>（70）食品生产经营者建立健全食品安全追溯体系，确保记录真实完整，产品来源可查、去向可追，得5分；否则相应扣分。</w:t>
            </w:r>
          </w:p>
        </w:tc>
        <w:tc>
          <w:tcPr>
            <w:tcW w:w="5278"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企业未建立食品安全追溯体系的，每发现一次，扣1分。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widowControl/>
              <w:adjustRightInd w:val="0"/>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企业食品安全追溯体系不健全，无法确保记录真实完整，产品来源可查、去向可追，每发现一次，扣0.5分。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cs="Times New Roman"/>
                <w:sz w:val="24"/>
                <w:szCs w:val="24"/>
              </w:rPr>
              <w:t>23.诚信文化</w:t>
            </w:r>
          </w:p>
        </w:tc>
        <w:tc>
          <w:tcPr>
            <w:tcW w:w="3404" w:type="dxa"/>
            <w:tcBorders>
              <w:top w:val="single" w:color="auto" w:sz="6" w:space="0"/>
              <w:bottom w:val="single" w:color="auto" w:sz="6" w:space="0"/>
            </w:tcBorders>
            <w:vAlign w:val="center"/>
          </w:tcPr>
          <w:p>
            <w:pPr>
              <w:widowControl/>
              <w:adjustRightInd w:val="0"/>
              <w:snapToGrid w:val="0"/>
              <w:jc w:val="left"/>
              <w:rPr>
                <w:rFonts w:ascii="Times New Roman" w:hAnsi="Times New Roman" w:eastAsia="仿宋_GB2312"/>
                <w:sz w:val="24"/>
                <w:szCs w:val="24"/>
              </w:rPr>
            </w:pPr>
            <w:r>
              <w:rPr>
                <w:rFonts w:ascii="Times New Roman" w:hAnsi="Times New Roman" w:eastAsia="仿宋_GB2312" w:cs="Times New Roman"/>
                <w:sz w:val="24"/>
                <w:szCs w:val="24"/>
              </w:rPr>
              <w:t>（72）食品生产经营企业开展诚信守法教育活动，建立诚信守法经营的企业文化，得5分；否则相应扣分。</w:t>
            </w:r>
          </w:p>
        </w:tc>
        <w:tc>
          <w:tcPr>
            <w:tcW w:w="5278" w:type="dxa"/>
            <w:tcBorders>
              <w:top w:val="single" w:color="auto" w:sz="6" w:space="0"/>
              <w:bottom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cs="Times New Roman"/>
                <w:sz w:val="24"/>
                <w:szCs w:val="24"/>
              </w:rPr>
              <w:t>未开展诚信守法教育活动，无相关材料，每发现一次，扣0.5分。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25）保健食品生产企业体系检查年度覆盖率达到辖区内保健食品生产企业总数的20%以上；体系检查问题整改率达到100%”中，保健食品生产企业体系检查年度覆盖率达到辖区内保健食品生产企业总数的20%以上，是指国家食品安全示范城市辖区内保健食品生产企业参加省级市场监管部门组织的年度保健食品生产企业体系检查数量不低于本辖区保健食品生产企业总数的20%。从体系检查类型来说，保健食品生产企业体系检查应为省级市场监管部门组织的体系检查；从组织形式来说，可以是省级市场监管部门自行组织、委托第三方机构组织或委托市局组织；从覆盖率来说，年度体系检查覆盖率必须达到国家食品安全示范城市辖区内保健食品生产企业总数的20%以上。辖区内保健食品生产企业在省级市场监管部门组织的年度体系检查中覆盖率不足辖区保健食品生产企业总数20%的，即判定不合格。比如，省级市场监管部门未按时在申请城市辖区内开展体系检查的，或已经开展体系检查但未达到20%的，都可视为不合格。</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4.“（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5.“（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bookmarkStart w:id="0" w:name="_GoBack"/>
      <w:bookmarkEnd w:id="0"/>
      <w:r>
        <w:rPr>
          <w:rFonts w:hint="eastAsia" w:ascii="Times New Roman" w:hAnsi="Times New Roman" w:eastAsia="楷体_GB2312"/>
          <w:sz w:val="24"/>
          <w:szCs w:val="24"/>
        </w:rPr>
        <w:t>。</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451C0458"/>
    <w:rsid w:val="49046A73"/>
    <w:rsid w:val="70EF01E1"/>
    <w:rsid w:val="7FC42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2021-08-11T08:59:01Z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