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哨点医院</w:t>
      </w:r>
      <w:r>
        <w:rPr>
          <w:rFonts w:ascii="Times New Roman" w:hAnsi="Times New Roman" w:eastAsia="黑体"/>
          <w:sz w:val="36"/>
          <w:szCs w:val="36"/>
        </w:rPr>
        <w:t>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3460"/>
        <w:gridCol w:w="5222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3460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/>
                <w:sz w:val="24"/>
                <w:szCs w:val="24"/>
              </w:rPr>
              <w:t>4.风险监测</w:t>
            </w:r>
          </w:p>
        </w:tc>
        <w:tc>
          <w:tcPr>
            <w:tcW w:w="3460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（9）食品污染物和有害因素监测网络覆盖全部县级行政区域，得3分；否则相应扣分。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食品污染物和有害因素监测网络未覆盖全部县级行政区域，每发现一次，扣1分。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460" w:type="dxa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（10）食源性疾病监测医疗机构及时报送食源性疾病事件和病例，得4分；否则相应扣分。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未建立食源性疾病监测报告工作制度，扣0.5分。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医疗机构负责同志掌握食源性疾病监测报告工作制度内容，否则扣0.5分。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相关科室临床医生掌握食源性疾病监测报告工作程序，否则扣0.5分。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信息报告程序清晰，渠道畅通，否则扣0.5分。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有开展食源性疾病病例或食源性疾病暴发信息报告的工作记录，否则扣0.5分。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检查人员签字：                                               被检查单位签字：</w:t>
      </w:r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7AD291A"/>
    <w:rsid w:val="0B705F30"/>
    <w:rsid w:val="210827ED"/>
    <w:rsid w:val="2B1B697F"/>
    <w:rsid w:val="451C0458"/>
    <w:rsid w:val="49046A73"/>
    <w:rsid w:val="675C0386"/>
    <w:rsid w:val="6F743130"/>
    <w:rsid w:val="70E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2021-08-11T10:04:32Z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