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粮食收储企业</w:t>
      </w:r>
      <w:r>
        <w:rPr>
          <w:rFonts w:ascii="Times New Roman" w:hAnsi="Times New Roman" w:eastAsia="黑体"/>
          <w:sz w:val="36"/>
          <w:szCs w:val="36"/>
        </w:rPr>
        <w:t>明查打分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3460"/>
        <w:gridCol w:w="5222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3460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/>
                <w:sz w:val="24"/>
                <w:szCs w:val="24"/>
              </w:rPr>
              <w:t>6.粮食质量</w:t>
            </w:r>
          </w:p>
        </w:tc>
        <w:tc>
          <w:tcPr>
            <w:tcW w:w="3460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（17）严格执行国家粮食质量标准和食品安全标准，严把粮食收购、储存、销售出库质量安全关，得2分；否则相应扣分。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粮食收储单位未按规定严格执行国家粮食质量和食品安全标准，未严把粮食收购、销售出库质量安全关，存在违规收购和销售行为，每个单位扣0.5分，扣完为止。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460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（18）建立超标粮食处置长效机制，得2分；否则不得分。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对不符合食品安全标准的粮食实施定点收购、分类储存、定向销售、闭环处置，不得作为食用用途销售，得3分；否则相应扣分。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未建立超标粮食处置长效机制，没有实施定点收购、分类储存、定向销售、闭环处置具体措施，扣0.5分。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460" w:type="dxa"/>
            <w:vMerge w:val="restart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（19）按要求开展粮食质量安全检验监测工作，库存粮食质量监测覆盖比例不低于库存数量的25%，得3分；否则不得分。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库存粮食监测发现问题处置率达到100%，得3分；否则不得分。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未开展粮食质量安全检验监测工作，扣0.5分。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库存粮食质量监测覆盖比例低于库存数量的25%，扣0.5分。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Times New Roman" w:hAnsi="Times New Roman" w:eastAsia="黑体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库存粮食监测发现问题处置率低于100%，扣0.5分。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widowControl/>
              <w:snapToGrid w:val="0"/>
              <w:spacing w:line="24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460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（20）粮食烘干服务设施满足需要，得2分；否则相应扣分。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粮食烘干服务设施不能满足当地实际需要，，或发生因烘干能力不足导致的粮食质量安全问题的，每发现一次，扣0.5分。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3460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5222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>检查人员签字：                                               被检查单位签字：</w:t>
      </w:r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7AD291A"/>
    <w:rsid w:val="0B705F30"/>
    <w:rsid w:val="2B1B697F"/>
    <w:rsid w:val="451C0458"/>
    <w:rsid w:val="49046A73"/>
    <w:rsid w:val="675C0386"/>
    <w:rsid w:val="6F743130"/>
    <w:rsid w:val="70E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2021-08-11T10:02:14Z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