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农资经营单位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826"/>
        <w:gridCol w:w="4856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82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85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5.源头治理</w:t>
            </w:r>
          </w:p>
        </w:tc>
        <w:tc>
          <w:tcPr>
            <w:tcW w:w="3826" w:type="dxa"/>
            <w:vMerge w:val="restart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（13）严禁使用国家明令禁止的农业投入品，得2分；否则不得分。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严格落实定点经营、实名购买和使用记录等制度，得2分；否则相应扣分。</w:t>
            </w:r>
          </w:p>
        </w:tc>
        <w:tc>
          <w:tcPr>
            <w:tcW w:w="485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未有效落实定点经营和实名购买制度，每发现一次，扣0.5分。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2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存在超范围经营，（包括利用互联网销售）高毒农药、限制使用农药，加工分装农药兽药的，扣2分。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26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存在经营、仓储场所不符合许可要求的，扣0.5分。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826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存在未落实索票索证、进货查验制度的，扣0.5分。</w:t>
            </w:r>
          </w:p>
        </w:tc>
        <w:tc>
          <w:tcPr>
            <w:tcW w:w="9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826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存在购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  <w:szCs w:val="24"/>
              </w:rPr>
              <w:t>进、储存、销售等未采用可追溯电子系统，或者未正常使用，台账记录不准确、不完整的，扣0.5分。</w:t>
            </w:r>
          </w:p>
        </w:tc>
        <w:tc>
          <w:tcPr>
            <w:tcW w:w="9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826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未完成高毒高风险农药淘汰工作，扣0.5分。</w:t>
            </w:r>
          </w:p>
        </w:tc>
        <w:tc>
          <w:tcPr>
            <w:tcW w:w="9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382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8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0D0D2486"/>
    <w:rsid w:val="2B1B697F"/>
    <w:rsid w:val="451C0458"/>
    <w:rsid w:val="49046A73"/>
    <w:rsid w:val="675C0386"/>
    <w:rsid w:val="69001287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2021-08-11T10:00:08Z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