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hint="eastAsia" w:ascii="Times New Roman" w:hAnsi="Times New Roman" w:eastAsia="方正小标宋简体"/>
          <w:sz w:val="36"/>
          <w:szCs w:val="36"/>
        </w:rPr>
        <w:t>婴幼儿配方乳粉生产企业明查打分表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404"/>
        <w:gridCol w:w="5278"/>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404"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278"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spacing w:line="28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404" w:type="dxa"/>
            <w:tcBorders>
              <w:top w:val="single" w:color="auto" w:sz="6" w:space="0"/>
            </w:tcBorders>
            <w:vAlign w:val="center"/>
          </w:tcPr>
          <w:p>
            <w:pPr>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（21）对食品生产经营者全面实行食品安全风险分级动态管理，得2分；否则相应扣分。</w:t>
            </w:r>
          </w:p>
          <w:p>
            <w:pPr>
              <w:spacing w:line="280" w:lineRule="exact"/>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5278" w:type="dxa"/>
            <w:tcBorders>
              <w:top w:val="single" w:color="auto" w:sz="6" w:space="0"/>
            </w:tcBorders>
            <w:vAlign w:val="center"/>
          </w:tcPr>
          <w:p>
            <w:pPr>
              <w:widowControl/>
              <w:spacing w:line="280" w:lineRule="exact"/>
              <w:rPr>
                <w:rFonts w:ascii="Times New Roman" w:hAnsi="Times New Roman" w:eastAsia="仿宋_GB2312"/>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tcBorders>
              <w:top w:val="single" w:color="auto" w:sz="6" w:space="0"/>
            </w:tcBorders>
            <w:vAlign w:val="center"/>
          </w:tcPr>
          <w:p>
            <w:pPr>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（24）婴幼儿配方乳粉、特殊医学用途配方食品生产企业体系检查年度覆盖率达到100%，得2分；否则相应扣分。</w:t>
            </w:r>
          </w:p>
          <w:p>
            <w:pPr>
              <w:widowControl/>
              <w:spacing w:line="280" w:lineRule="exact"/>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体系检查问题整改率达到100%，得2分；否则相应扣分。</w:t>
            </w:r>
          </w:p>
        </w:tc>
        <w:tc>
          <w:tcPr>
            <w:tcW w:w="5278" w:type="dxa"/>
            <w:tcBorders>
              <w:top w:val="single" w:color="auto" w:sz="6" w:space="0"/>
            </w:tcBorders>
            <w:vAlign w:val="center"/>
          </w:tcPr>
          <w:p>
            <w:pPr>
              <w:widowControl/>
              <w:spacing w:line="280" w:lineRule="exact"/>
              <w:jc w:val="left"/>
              <w:rPr>
                <w:rFonts w:ascii="Times New Roman" w:hAnsi="Times New Roman" w:eastAsia="仿宋_GB2312"/>
                <w:sz w:val="24"/>
                <w:szCs w:val="24"/>
              </w:rPr>
            </w:pPr>
            <w:r>
              <w:rPr>
                <w:rFonts w:ascii="Times New Roman" w:hAnsi="Times New Roman" w:eastAsia="仿宋_GB2312"/>
                <w:sz w:val="24"/>
                <w:szCs w:val="24"/>
              </w:rPr>
              <w:t>近三年体系检查年度覆盖率未达到100%，每发现一次，扣0.5分。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5278" w:type="dxa"/>
            <w:tcBorders>
              <w:top w:val="single" w:color="auto" w:sz="6" w:space="0"/>
            </w:tcBorders>
            <w:vAlign w:val="center"/>
          </w:tcPr>
          <w:p>
            <w:pPr>
              <w:rPr>
                <w:rFonts w:ascii="Times New Roman" w:hAnsi="Times New Roman" w:eastAsia="仿宋_GB2312"/>
                <w:sz w:val="24"/>
                <w:szCs w:val="24"/>
              </w:rPr>
            </w:pP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pStyle w:val="2"/>
              <w:tabs>
                <w:tab w:val="left" w:pos="312"/>
              </w:tabs>
              <w:spacing w:line="280" w:lineRule="exac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19.管理责任</w:t>
            </w:r>
          </w:p>
        </w:tc>
        <w:tc>
          <w:tcPr>
            <w:tcW w:w="3404" w:type="dxa"/>
            <w:vMerge w:val="restart"/>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527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未建立健全食品安全管理制度，设置食品质量安全管理岗位，每发现一次，扣0.5分。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tabs>
                <w:tab w:val="left" w:pos="312"/>
              </w:tabs>
              <w:spacing w:before="260" w:line="280" w:lineRule="exact"/>
              <w:ind w:left="0" w:leftChars="0" w:firstLine="0" w:firstLineChars="0"/>
              <w:jc w:val="center"/>
              <w:rPr>
                <w:rFonts w:ascii="Times New Roman" w:hAnsi="Times New Roman" w:eastAsia="仿宋_GB2312"/>
                <w:sz w:val="24"/>
                <w:szCs w:val="24"/>
              </w:rPr>
            </w:pPr>
          </w:p>
        </w:tc>
        <w:tc>
          <w:tcPr>
            <w:tcW w:w="3404" w:type="dxa"/>
            <w:vMerge w:val="continue"/>
            <w:tcBorders>
              <w:top w:val="single" w:color="auto" w:sz="6" w:space="0"/>
            </w:tcBorders>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未加大食品质量安全管理投入，扣0.5分。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512" w:type="dxa"/>
            <w:vMerge w:val="continue"/>
            <w:vAlign w:val="center"/>
          </w:tcPr>
          <w:p>
            <w:pPr>
              <w:pStyle w:val="2"/>
              <w:keepNext/>
              <w:keepLines/>
              <w:tabs>
                <w:tab w:val="left" w:pos="312"/>
              </w:tabs>
              <w:spacing w:before="260" w:line="280" w:lineRule="exact"/>
              <w:ind w:left="0" w:leftChars="0" w:firstLine="0" w:firstLineChars="0"/>
              <w:jc w:val="center"/>
              <w:rPr>
                <w:rFonts w:ascii="Times New Roman" w:hAnsi="Times New Roman" w:eastAsia="仿宋_GB2312"/>
                <w:sz w:val="24"/>
                <w:szCs w:val="24"/>
              </w:rPr>
            </w:pPr>
          </w:p>
        </w:tc>
        <w:tc>
          <w:tcPr>
            <w:tcW w:w="3404" w:type="dxa"/>
            <w:vMerge w:val="restart"/>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27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tabs>
                <w:tab w:val="left" w:pos="312"/>
              </w:tabs>
              <w:spacing w:before="260" w:line="280" w:lineRule="exact"/>
              <w:ind w:left="0" w:leftChars="0" w:firstLine="0" w:firstLineChars="0"/>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tabs>
                <w:tab w:val="left" w:pos="312"/>
              </w:tabs>
              <w:spacing w:before="260" w:line="280" w:lineRule="exact"/>
              <w:ind w:left="0" w:leftChars="0" w:firstLine="0" w:firstLineChars="0"/>
              <w:jc w:val="center"/>
              <w:rPr>
                <w:rFonts w:ascii="Times New Roman" w:hAnsi="Times New Roman" w:eastAsia="黑体"/>
                <w:sz w:val="24"/>
                <w:szCs w:val="24"/>
              </w:rPr>
            </w:pPr>
          </w:p>
        </w:tc>
        <w:tc>
          <w:tcPr>
            <w:tcW w:w="3404" w:type="dxa"/>
            <w:vMerge w:val="continue"/>
            <w:tcBorders>
              <w:top w:val="single" w:color="auto" w:sz="6" w:space="0"/>
            </w:tcBorders>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 xml:space="preserve">食品质量安全管理岗位人员的法规知识抽查合格率低于95%，扣0.5分。 </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pStyle w:val="2"/>
              <w:spacing w:line="280" w:lineRule="exac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404" w:type="dxa"/>
            <w:vMerge w:val="restart"/>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spacing w:line="280" w:lineRule="exact"/>
              <w:ind w:firstLine="480" w:firstLineChars="200"/>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spacing w:line="280" w:lineRule="exact"/>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接触直接入口食品的从业人员持有效健康证明上岗，生产加工经营过程严格执行食品生产经营安全相关规范要求，得2分；否则相应扣分。</w:t>
            </w:r>
          </w:p>
        </w:tc>
        <w:tc>
          <w:tcPr>
            <w:tcW w:w="5278"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未依法对食品安全责任落实情况、食品安全状况进行自评自查，每发现一次，扣0.5分。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spacing w:line="280" w:lineRule="exact"/>
              <w:ind w:left="0" w:leftChars="0" w:firstLine="0" w:firstLineChars="0"/>
              <w:jc w:val="center"/>
              <w:rPr>
                <w:rFonts w:ascii="Times New Roman" w:hAnsi="Times New Roman" w:eastAsia="仿宋_GB2312"/>
                <w:sz w:val="24"/>
                <w:szCs w:val="24"/>
              </w:rPr>
            </w:pPr>
          </w:p>
        </w:tc>
        <w:tc>
          <w:tcPr>
            <w:tcW w:w="3404" w:type="dxa"/>
            <w:vMerge w:val="continue"/>
            <w:vAlign w:val="center"/>
          </w:tcPr>
          <w:p>
            <w:pPr>
              <w:spacing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spacing w:line="280" w:lineRule="exact"/>
              <w:rPr>
                <w:rFonts w:ascii="Times New Roman" w:hAnsi="Times New Roman" w:eastAsia="仿宋_GB2312"/>
                <w:sz w:val="24"/>
                <w:szCs w:val="24"/>
              </w:rPr>
            </w:pPr>
            <w:r>
              <w:rPr>
                <w:rFonts w:ascii="Times New Roman" w:hAnsi="Times New Roman" w:eastAsia="仿宋_GB2312"/>
                <w:sz w:val="24"/>
                <w:szCs w:val="24"/>
              </w:rPr>
              <w:t>自查和监督检查发现问题整改率达不到100%，每发现一次，扣0.5分。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spacing w:before="260" w:line="280" w:lineRule="exact"/>
              <w:ind w:left="0" w:leftChars="0" w:firstLine="0" w:firstLineChars="0"/>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从事接触直接入口食品工作的人员未取得健康证明，每发现一次，扣0.5分。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spacing w:line="280" w:lineRule="exact"/>
              <w:ind w:left="0" w:leftChars="0" w:firstLine="0" w:firstLineChars="0"/>
              <w:jc w:val="center"/>
              <w:rPr>
                <w:rFonts w:ascii="Times New Roman" w:hAnsi="Times New Roman" w:eastAsia="仿宋_GB2312"/>
                <w:sz w:val="24"/>
                <w:szCs w:val="24"/>
              </w:rPr>
            </w:pPr>
          </w:p>
        </w:tc>
        <w:tc>
          <w:tcPr>
            <w:tcW w:w="3404" w:type="dxa"/>
            <w:vMerge w:val="continue"/>
            <w:vAlign w:val="center"/>
          </w:tcPr>
          <w:p>
            <w:pPr>
              <w:spacing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spacing w:line="280" w:lineRule="exact"/>
              <w:jc w:val="left"/>
              <w:rPr>
                <w:rFonts w:ascii="Times New Roman" w:hAnsi="Times New Roman" w:eastAsia="黑体"/>
                <w:sz w:val="24"/>
                <w:szCs w:val="24"/>
              </w:rPr>
            </w:pPr>
            <w:r>
              <w:rPr>
                <w:rFonts w:ascii="Times New Roman" w:hAnsi="Times New Roman" w:eastAsia="仿宋_GB2312"/>
                <w:sz w:val="24"/>
                <w:szCs w:val="24"/>
              </w:rPr>
              <w:t>生产加工经营过程不符合相应生产工艺和操作规范，每发现一次，扣0.5分。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spacing w:line="280" w:lineRule="exact"/>
              <w:ind w:left="0" w:leftChars="0" w:firstLine="0" w:firstLineChars="0"/>
              <w:jc w:val="center"/>
              <w:rPr>
                <w:rFonts w:ascii="Times New Roman" w:hAnsi="Times New Roman" w:eastAsia="仿宋_GB2312"/>
                <w:sz w:val="24"/>
                <w:szCs w:val="24"/>
              </w:rPr>
            </w:pPr>
          </w:p>
        </w:tc>
        <w:tc>
          <w:tcPr>
            <w:tcW w:w="3404" w:type="dxa"/>
            <w:vMerge w:val="continue"/>
            <w:vAlign w:val="center"/>
          </w:tcPr>
          <w:p>
            <w:pPr>
              <w:spacing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加工场所内环境（包括地面、排水沟、墙面、顶棚、门窗等）未保持清洁，扣0.5分。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spacing w:before="260" w:line="280" w:lineRule="exact"/>
              <w:ind w:left="0" w:leftChars="0" w:firstLine="0" w:firstLineChars="0"/>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车间入口处及车间内必要处未设置更衣室，扣0.5分。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spacing w:before="260" w:line="280" w:lineRule="exact"/>
              <w:ind w:left="0" w:leftChars="0" w:firstLine="0" w:firstLineChars="0"/>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设置更衣室，但未有效发挥洗手、干手和消毒作用，扣0.5分。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spacing w:before="260" w:line="280" w:lineRule="exact"/>
              <w:ind w:left="0" w:leftChars="0" w:firstLine="0" w:firstLineChars="0"/>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仓库内原料、半成品、成品、包装材料未分设贮存场所、或分区码放，扣0.5分。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spacing w:before="260" w:line="280" w:lineRule="exact"/>
              <w:ind w:left="0" w:leftChars="0" w:firstLine="0" w:firstLineChars="0"/>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仿宋_GB2312"/>
                <w:sz w:val="24"/>
                <w:szCs w:val="24"/>
              </w:rPr>
            </w:pPr>
            <w:r>
              <w:rPr>
                <w:rFonts w:ascii="Times New Roman" w:hAnsi="Times New Roman" w:eastAsia="仿宋_GB2312"/>
                <w:sz w:val="24"/>
                <w:szCs w:val="24"/>
              </w:rPr>
              <w:t>未建立和保存食品原辅料、食品添加剂、食品相关产品的进货查验、索证索票、贮存、保管记录和领用出库记录，扣0.5分。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keepNext/>
              <w:keepLines/>
              <w:spacing w:before="260" w:line="280" w:lineRule="exact"/>
              <w:ind w:left="0" w:leftChars="0" w:firstLine="0" w:firstLineChars="0"/>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未开展出厂检验，或者检验记录不真实，扣0.5分。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spacing w:before="260" w:line="280" w:lineRule="exact"/>
              <w:ind w:left="0" w:leftChars="0" w:firstLine="0" w:firstLineChars="0"/>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企业自查发现风险但未按规定向辖区监管部门报告的，每发现一次，扣0.5分。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spacing w:before="260" w:line="280" w:lineRule="exact"/>
              <w:ind w:left="0" w:leftChars="0" w:firstLine="0" w:firstLineChars="0"/>
              <w:jc w:val="center"/>
              <w:rPr>
                <w:rFonts w:ascii="Times New Roman" w:hAnsi="Times New Roman" w:eastAsia="仿宋_GB2312"/>
                <w:sz w:val="24"/>
                <w:szCs w:val="24"/>
              </w:rPr>
            </w:pPr>
          </w:p>
        </w:tc>
        <w:tc>
          <w:tcPr>
            <w:tcW w:w="3404" w:type="dxa"/>
            <w:vMerge w:val="continue"/>
            <w:tcBorders>
              <w:top w:val="single" w:color="auto" w:sz="6" w:space="0"/>
            </w:tcBorders>
            <w:vAlign w:val="center"/>
          </w:tcPr>
          <w:p>
            <w:pPr>
              <w:keepNext/>
              <w:keepLines/>
              <w:spacing w:before="260" w:after="260" w:line="280" w:lineRule="exact"/>
              <w:jc w:val="left"/>
              <w:rPr>
                <w:rFonts w:ascii="Times New Roman" w:hAnsi="Times New Roman" w:eastAsia="黑体"/>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仿宋_GB2312"/>
                <w:sz w:val="24"/>
                <w:szCs w:val="24"/>
              </w:rPr>
            </w:pPr>
            <w:r>
              <w:rPr>
                <w:rFonts w:ascii="Times New Roman" w:hAnsi="Times New Roman" w:eastAsia="仿宋_GB2312"/>
                <w:sz w:val="24"/>
                <w:szCs w:val="24"/>
              </w:rPr>
              <w:t>对检查发现的问题，未查找原因或未严格落实整改措施，扣0.5分。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512" w:type="dxa"/>
            <w:vMerge w:val="continue"/>
            <w:vAlign w:val="center"/>
          </w:tcPr>
          <w:p>
            <w:pPr>
              <w:pStyle w:val="2"/>
              <w:keepNext/>
              <w:keepLines/>
              <w:spacing w:before="260" w:line="280" w:lineRule="exact"/>
              <w:ind w:left="0" w:leftChars="0" w:firstLine="0" w:firstLineChars="0"/>
              <w:jc w:val="center"/>
              <w:rPr>
                <w:rFonts w:ascii="Times New Roman" w:hAnsi="Times New Roman" w:eastAsia="仿宋_GB2312"/>
                <w:sz w:val="24"/>
                <w:szCs w:val="24"/>
              </w:rPr>
            </w:pPr>
          </w:p>
        </w:tc>
        <w:tc>
          <w:tcPr>
            <w:tcW w:w="3404"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（59）规模以上食品生产企业、婴幼儿配方乳粉生产企业实施良好生产规范、危害分析与关键控制点体系等管理体系，得3分；否则相应扣分。</w:t>
            </w:r>
          </w:p>
        </w:tc>
        <w:tc>
          <w:tcPr>
            <w:tcW w:w="5278"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未实施良好生产规范、危害分析与关键控制点体系等管理体系，每发现一次，扣0.5分。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12" w:type="dxa"/>
            <w:vMerge w:val="continue"/>
            <w:vAlign w:val="center"/>
          </w:tcPr>
          <w:p>
            <w:pPr>
              <w:spacing w:line="280" w:lineRule="exact"/>
              <w:rPr>
                <w:rFonts w:ascii="Times New Roman" w:hAnsi="Times New Roman" w:eastAsia="仿宋_GB2312"/>
                <w:sz w:val="24"/>
                <w:szCs w:val="24"/>
              </w:rPr>
            </w:pPr>
          </w:p>
        </w:tc>
        <w:tc>
          <w:tcPr>
            <w:tcW w:w="3404" w:type="dxa"/>
            <w:vMerge w:val="restart"/>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（60）婴幼儿配方乳粉生产企业主要原材料稳定可控，对供应商定期审核或建设自有自控奶源基地，产品出厂全项目批批自检，得3分；否则不得分。</w:t>
            </w:r>
          </w:p>
        </w:tc>
        <w:tc>
          <w:tcPr>
            <w:tcW w:w="5278" w:type="dxa"/>
            <w:tcBorders>
              <w:top w:val="single" w:color="auto" w:sz="4" w:space="0"/>
            </w:tcBorders>
            <w:vAlign w:val="center"/>
          </w:tcPr>
          <w:p>
            <w:pPr>
              <w:widowControl/>
              <w:spacing w:line="280" w:lineRule="exact"/>
              <w:rPr>
                <w:rFonts w:ascii="Times New Roman" w:hAnsi="Times New Roman" w:eastAsia="仿宋_GB2312"/>
                <w:sz w:val="24"/>
                <w:szCs w:val="24"/>
              </w:rPr>
            </w:pPr>
            <w:r>
              <w:rPr>
                <w:rFonts w:ascii="Times New Roman" w:hAnsi="Times New Roman" w:eastAsia="仿宋_GB2312"/>
                <w:sz w:val="24"/>
                <w:szCs w:val="24"/>
              </w:rPr>
              <w:t>产品未按照有关法律法规和婴幼儿配方乳粉食品安全国家标准规定的项目实施逐批检验，存在未检验或无检验报告的情况，扣0.5分。</w:t>
            </w:r>
          </w:p>
        </w:tc>
        <w:tc>
          <w:tcPr>
            <w:tcW w:w="995" w:type="dxa"/>
            <w:tcBorders>
              <w:top w:val="single" w:color="auto" w:sz="4"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4"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pacing w:before="260" w:after="260" w:line="280" w:lineRule="exact"/>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r>
              <w:rPr>
                <w:rFonts w:ascii="Times New Roman" w:hAnsi="Times New Roman" w:eastAsia="仿宋_GB2312"/>
                <w:sz w:val="24"/>
                <w:szCs w:val="24"/>
              </w:rPr>
              <w:t>存在产品标识标注情况不规范，扣0.5分。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pacing w:before="260" w:after="260" w:line="280" w:lineRule="exact"/>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r>
              <w:rPr>
                <w:rFonts w:ascii="Times New Roman" w:hAnsi="Times New Roman" w:eastAsia="仿宋_GB2312"/>
                <w:sz w:val="24"/>
                <w:szCs w:val="24"/>
              </w:rPr>
              <w:t>未做到有自建自控奶源，或者对于主要原料供应商定期审核，做到原料质量稳定可控，扣0.5分。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top"/>
          </w:tcPr>
          <w:p>
            <w:pPr>
              <w:keepNext/>
              <w:keepLines/>
              <w:spacing w:before="260" w:after="260" w:line="280" w:lineRule="exact"/>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top"/>
          </w:tcPr>
          <w:p>
            <w:pPr>
              <w:keepNext/>
              <w:keepLines/>
              <w:spacing w:before="260" w:after="260" w:line="280" w:lineRule="exact"/>
              <w:jc w:val="center"/>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r>
              <w:rPr>
                <w:rFonts w:ascii="Times New Roman" w:hAnsi="Times New Roman" w:eastAsia="仿宋_GB2312"/>
                <w:sz w:val="24"/>
                <w:szCs w:val="24"/>
              </w:rPr>
              <w:t>存在进口大包装婴幼儿配方乳粉境内分装情况，扣0.5分。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tcBorders>
              <w:top w:val="single" w:color="auto" w:sz="6" w:space="0"/>
              <w:bottom w:val="single" w:color="auto" w:sz="6" w:space="0"/>
            </w:tcBorders>
            <w:vAlign w:val="center"/>
          </w:tcPr>
          <w:p>
            <w:pPr>
              <w:spacing w:line="280" w:lineRule="exact"/>
              <w:rPr>
                <w:rFonts w:ascii="Times New Roman" w:hAnsi="Times New Roman" w:eastAsia="仿宋_GB2312"/>
                <w:sz w:val="24"/>
                <w:szCs w:val="24"/>
              </w:rPr>
            </w:pPr>
            <w:r>
              <w:rPr>
                <w:rFonts w:ascii="Times New Roman" w:hAnsi="Times New Roman" w:eastAsia="仿宋_GB2312"/>
                <w:sz w:val="24"/>
                <w:szCs w:val="24"/>
              </w:rPr>
              <w:t>（61）特殊食品生产企业严格按照注册或备案的技术要求组织生产，产品标签标识及说明书标注规范，与注册或备案内容一致，得3分；否则相应扣分。</w:t>
            </w:r>
          </w:p>
          <w:p>
            <w:pPr>
              <w:widowControl/>
              <w:adjustRightInd w:val="0"/>
              <w:snapToGrid w:val="0"/>
              <w:spacing w:line="280" w:lineRule="exact"/>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定期开展食品安全自查，自查报告率和发现问题整改率达到100%，得2分；否则相应扣分。</w:t>
            </w:r>
          </w:p>
        </w:tc>
        <w:tc>
          <w:tcPr>
            <w:tcW w:w="5278"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未严格按照注册或备案的技术要求组织生产，产品标识标注不规范，每发现一次，扣0.5分。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spacing w:line="280" w:lineRule="exact"/>
              <w:jc w:val="center"/>
              <w:rPr>
                <w:rFonts w:ascii="Times New Roman" w:hAnsi="Times New Roman" w:eastAsia="仿宋_GB2312"/>
                <w:sz w:val="24"/>
                <w:szCs w:val="24"/>
              </w:rPr>
            </w:pPr>
            <w:r>
              <w:rPr>
                <w:rFonts w:ascii="Times New Roman" w:hAnsi="Times New Roman" w:eastAsia="仿宋_GB2312"/>
                <w:sz w:val="24"/>
                <w:szCs w:val="24"/>
              </w:rPr>
              <w:t>21.产品追溯</w:t>
            </w:r>
          </w:p>
        </w:tc>
        <w:tc>
          <w:tcPr>
            <w:tcW w:w="3404" w:type="dxa"/>
            <w:vMerge w:val="restart"/>
            <w:tcBorders>
              <w:top w:val="single" w:color="auto" w:sz="6" w:space="0"/>
              <w:bottom w:val="single" w:color="auto" w:sz="6" w:space="0"/>
            </w:tcBorders>
            <w:vAlign w:val="center"/>
          </w:tcPr>
          <w:p>
            <w:pPr>
              <w:widowControl/>
              <w:adjustRightInd w:val="0"/>
              <w:snapToGrid w:val="0"/>
              <w:spacing w:line="280" w:lineRule="exact"/>
              <w:jc w:val="left"/>
              <w:rPr>
                <w:rFonts w:ascii="Times New Roman" w:hAnsi="Times New Roman" w:eastAsia="仿宋_GB2312"/>
                <w:sz w:val="24"/>
                <w:szCs w:val="24"/>
              </w:rPr>
            </w:pPr>
            <w:r>
              <w:rPr>
                <w:rFonts w:ascii="Times New Roman" w:hAnsi="Times New Roman" w:eastAsia="仿宋_GB2312"/>
                <w:sz w:val="24"/>
                <w:szCs w:val="24"/>
              </w:rPr>
              <w:t>（70）食品生产经营者建立健全食品安全追溯体系，确保记录真实完整，产品来源可查、去向可追，得5分；否则相应扣分。</w:t>
            </w:r>
          </w:p>
        </w:tc>
        <w:tc>
          <w:tcPr>
            <w:tcW w:w="5278"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企业未建立食品安全追溯体系的，每发现一次，扣1分。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8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widowControl/>
              <w:adjustRightInd w:val="0"/>
              <w:snapToGrid w:val="0"/>
              <w:spacing w:line="280" w:lineRule="exact"/>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企业食品安全追溯体系不健全，无法确保记录真实完整，产品来源可查、去向可追，每发现一次，扣0.5分。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spacing w:line="280" w:lineRule="exact"/>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23.诚信文化</w:t>
            </w:r>
          </w:p>
        </w:tc>
        <w:tc>
          <w:tcPr>
            <w:tcW w:w="3404" w:type="dxa"/>
            <w:tcBorders>
              <w:top w:val="single" w:color="auto" w:sz="6" w:space="0"/>
            </w:tcBorders>
            <w:vAlign w:val="center"/>
          </w:tcPr>
          <w:p>
            <w:pPr>
              <w:widowControl/>
              <w:adjustRightInd w:val="0"/>
              <w:snapToGrid w:val="0"/>
              <w:spacing w:line="280" w:lineRule="exact"/>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（72）食品生产经营企业开展诚信守法教育活动，建立诚信守法经营的企业文化，得5分；否则相应扣分。</w:t>
            </w:r>
          </w:p>
        </w:tc>
        <w:tc>
          <w:tcPr>
            <w:tcW w:w="5278" w:type="dxa"/>
            <w:tcBorders>
              <w:top w:val="single" w:color="auto" w:sz="6" w:space="0"/>
            </w:tcBorders>
            <w:vAlign w:val="center"/>
          </w:tcPr>
          <w:p>
            <w:pPr>
              <w:spacing w:line="280" w:lineRule="exact"/>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其中，重点检查属于有因检查类型，根</w:t>
      </w:r>
      <w:bookmarkStart w:id="0" w:name="_GoBack"/>
      <w:bookmarkEnd w:id="0"/>
      <w:r>
        <w:rPr>
          <w:rFonts w:hint="eastAsia" w:ascii="Times New Roman" w:hAnsi="Times New Roman" w:eastAsia="楷体_GB2312"/>
          <w:sz w:val="24"/>
          <w:szCs w:val="24"/>
        </w:rPr>
        <w:t>据抽检情况、舆情反映、投诉举报等线索，对相关食品经营者开展的有针对性的监督检查。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2.没有婴幼儿配方乳粉、特殊医学用途配方食品生产企业的城市，评审时有关内容可作为合理缺项。</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3.体系检查由省级局组织开展的，重点评价市局参与检查的情况，以及督促企业问题整改、依法查处违法违规行为的情况。应当查看近年来的体系检查工作开展情况。</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4.“（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5.“（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6.“（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451C0458"/>
    <w:rsid w:val="49046A73"/>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2021-08-11T08:49:12Z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