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/>
          <w:sz w:val="36"/>
          <w:szCs w:val="36"/>
        </w:rPr>
      </w:pPr>
      <w:r>
        <w:rPr>
          <w:rFonts w:ascii="Times New Roman" w:hAnsi="Times New Roman" w:eastAsia="方正小标宋简体"/>
          <w:sz w:val="36"/>
          <w:szCs w:val="36"/>
        </w:rPr>
        <w:t>农业种植单位</w:t>
      </w:r>
      <w:r>
        <w:rPr>
          <w:rFonts w:ascii="Times New Roman" w:hAnsi="Times New Roman" w:eastAsia="黑体"/>
          <w:sz w:val="36"/>
          <w:szCs w:val="36"/>
        </w:rPr>
        <w:t>明查打分</w:t>
      </w:r>
      <w:r>
        <w:rPr>
          <w:rFonts w:hint="eastAsia" w:ascii="Times New Roman" w:hAnsi="Times New Roman" w:eastAsia="方正小标宋简体"/>
          <w:sz w:val="36"/>
          <w:szCs w:val="36"/>
        </w:rPr>
        <w:t>表</w:t>
      </w:r>
    </w:p>
    <w:p>
      <w:pPr>
        <w:pStyle w:val="2"/>
        <w:spacing w:line="280" w:lineRule="exact"/>
        <w:ind w:left="0" w:leftChars="0" w:firstLine="0" w:firstLineChars="0"/>
        <w:jc w:val="left"/>
        <w:rPr>
          <w:rFonts w:hint="default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被检查单位：                                             所属街道：                      检查日期：</w:t>
      </w:r>
    </w:p>
    <w:tbl>
      <w:tblPr>
        <w:tblStyle w:val="6"/>
        <w:tblW w:w="1425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3788"/>
        <w:gridCol w:w="4894"/>
        <w:gridCol w:w="995"/>
        <w:gridCol w:w="306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tblHeader/>
          <w:jc w:val="center"/>
        </w:trPr>
        <w:tc>
          <w:tcPr>
            <w:tcW w:w="1512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pStyle w:val="2"/>
              <w:spacing w:line="280" w:lineRule="exact"/>
              <w:ind w:left="0" w:leftChars="0" w:firstLine="0" w:firstLineChars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评价要点</w:t>
            </w:r>
          </w:p>
        </w:tc>
        <w:tc>
          <w:tcPr>
            <w:tcW w:w="3788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对应检查内容及分值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（单项扣完为止）</w:t>
            </w:r>
          </w:p>
        </w:tc>
        <w:tc>
          <w:tcPr>
            <w:tcW w:w="4894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黑体"/>
                <w:sz w:val="24"/>
                <w:szCs w:val="24"/>
              </w:rPr>
              <w:t>评分标准</w:t>
            </w:r>
          </w:p>
        </w:tc>
        <w:tc>
          <w:tcPr>
            <w:tcW w:w="995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扣分数</w:t>
            </w:r>
          </w:p>
        </w:tc>
        <w:tc>
          <w:tcPr>
            <w:tcW w:w="3066" w:type="dxa"/>
            <w:tcBorders>
              <w:top w:val="single" w:color="auto" w:sz="6" w:space="0"/>
            </w:tcBorders>
            <w:shd w:val="clear" w:color="auto" w:fill="BDD6EE" w:themeFill="accent1" w:themeFillTint="66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szCs w:val="24"/>
                <w:lang w:val="en-US" w:eastAsia="zh-CN"/>
              </w:rPr>
              <w:t>扣分原因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512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5.源头治理</w:t>
            </w:r>
          </w:p>
        </w:tc>
        <w:tc>
          <w:tcPr>
            <w:tcW w:w="3788" w:type="dxa"/>
            <w:vMerge w:val="restart"/>
            <w:vAlign w:val="center"/>
          </w:tcPr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（11）全面推行耕地分类管理。在安全利用类耕地落实品种替代、水肥调控、土壤调理等农艺措施；在严格管控类耕地落实种植结构调整等措施，得2分；否则相应扣分。</w:t>
            </w:r>
          </w:p>
        </w:tc>
        <w:tc>
          <w:tcPr>
            <w:tcW w:w="4894" w:type="dxa"/>
            <w:tcBorders>
              <w:top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未推行耕地分类管理，每发现一次，扣0.5分。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keepNext/>
              <w:keepLines/>
              <w:spacing w:before="260" w:after="260"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788" w:type="dxa"/>
            <w:vMerge w:val="continue"/>
            <w:vAlign w:val="center"/>
          </w:tcPr>
          <w:p>
            <w:pPr>
              <w:snapToGrid w:val="0"/>
              <w:spacing w:before="260" w:after="26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4894" w:type="dxa"/>
            <w:tcBorders>
              <w:top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未实行耕地落实种植结构调整或退耕还林还草等措施，每发现一次，扣0.5分。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keepNext/>
              <w:keepLines/>
              <w:spacing w:before="260" w:after="260"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788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（12）禁止污水灌溉，严禁将城镇生活垃圾、污泥、工业废物直接用作肥料，得2分；否则不得分。</w:t>
            </w:r>
          </w:p>
        </w:tc>
        <w:tc>
          <w:tcPr>
            <w:tcW w:w="4894" w:type="dxa"/>
            <w:tcBorders>
              <w:top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存在重度污染耕地种植禁止种植的食用农产品，存在污水灌溉，或存在将城镇生活垃圾、污泥、工业废物直接用作肥料的，扣2分。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512" w:type="dxa"/>
            <w:vMerge w:val="continue"/>
            <w:vAlign w:val="center"/>
          </w:tcPr>
          <w:p>
            <w:pPr>
              <w:keepNext/>
              <w:keepLines/>
              <w:widowControl/>
              <w:spacing w:before="260" w:after="260" w:line="24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788" w:type="dxa"/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（13）严禁使用国家明令禁止的农业投入品，得2分；否则不得分。</w:t>
            </w:r>
          </w:p>
          <w:p>
            <w:pPr>
              <w:snapToGrid w:val="0"/>
              <w:ind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严格落实定点经营、实名购买和使用记录等制度，得2分；否则相应扣分。</w:t>
            </w:r>
          </w:p>
        </w:tc>
        <w:tc>
          <w:tcPr>
            <w:tcW w:w="4894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存在使用国家明令禁止的农业投入品，农业生产经营记录、农业投入品使用记录不规范等情况，扣2分。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28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512" w:type="dxa"/>
            <w:vAlign w:val="center"/>
          </w:tcPr>
          <w:p>
            <w:pPr>
              <w:jc w:val="center"/>
              <w:rPr>
                <w:rFonts w:ascii="Times New Roman" w:hAnsi="Times New Roman" w:eastAsia="黑体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11.社会共治</w:t>
            </w:r>
          </w:p>
        </w:tc>
        <w:tc>
          <w:tcPr>
            <w:tcW w:w="3788" w:type="dxa"/>
            <w:tcBorders>
              <w:top w:val="single" w:color="auto" w:sz="6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（39）落实普法责任制，持续加强食品安全法律法规、国家标准、科学知识的宣传教育，得2分；否则相应扣分。</w:t>
            </w:r>
          </w:p>
          <w:p>
            <w:pPr>
              <w:snapToGrid w:val="0"/>
              <w:ind w:firstLine="480" w:firstLineChars="20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持续开展“食品安全宣传周”活动，得3分；否则不得分。</w:t>
            </w:r>
          </w:p>
          <w:p>
            <w:pPr>
              <w:ind w:firstLine="480" w:firstLineChars="20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开展校园食品安全和营养教育，得2分；否则相应扣分。</w:t>
            </w:r>
          </w:p>
        </w:tc>
        <w:tc>
          <w:tcPr>
            <w:tcW w:w="4894" w:type="dxa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未开展食品安全宣传教育，每发现一次，扣</w:t>
            </w:r>
            <w:bookmarkStart w:id="0" w:name="_GoBack"/>
            <w:bookmarkEnd w:id="0"/>
            <w:r>
              <w:rPr>
                <w:rFonts w:ascii="Times New Roman" w:hAnsi="Times New Roman" w:eastAsia="仿宋_GB2312"/>
                <w:sz w:val="24"/>
                <w:szCs w:val="24"/>
              </w:rPr>
              <w:t>0.5分。</w:t>
            </w:r>
          </w:p>
        </w:tc>
        <w:tc>
          <w:tcPr>
            <w:tcW w:w="995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6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spacing w:beforeLines="50" w:line="360" w:lineRule="exact"/>
        <w:jc w:val="left"/>
        <w:rPr>
          <w:rFonts w:hint="default" w:ascii="Times New Roman" w:hAnsi="Times New Roman" w:eastAsia="楷体_GB231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楷体_GB2312"/>
          <w:sz w:val="24"/>
          <w:szCs w:val="24"/>
          <w:lang w:val="en-US" w:eastAsia="zh-CN"/>
        </w:rPr>
        <w:t>检查人员签字：                                               被检查单位签字：</w:t>
      </w:r>
    </w:p>
    <w:sectPr>
      <w:footerReference r:id="rId3" w:type="default"/>
      <w:pgSz w:w="16838" w:h="11906" w:orient="landscape"/>
      <w:pgMar w:top="1179" w:right="1440" w:bottom="1179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731D6"/>
    <w:rsid w:val="0B705F30"/>
    <w:rsid w:val="0D0D2486"/>
    <w:rsid w:val="2B1B697F"/>
    <w:rsid w:val="451C0458"/>
    <w:rsid w:val="49046A73"/>
    <w:rsid w:val="675C0386"/>
    <w:rsid w:val="6F743130"/>
    <w:rsid w:val="70EF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qFormat/>
    <w:uiPriority w:val="0"/>
    <w:pPr>
      <w:ind w:firstLine="420" w:firstLineChars="200"/>
    </w:pPr>
  </w:style>
  <w:style w:type="paragraph" w:styleId="3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Administrator.SC-201902141428</dc:creator>
  <cp:lastModifiedBy>~阳光D海岸~</cp:lastModifiedBy>
  <dcterms:modified xsi:type="dcterms:W3CDTF">2021-08-11T09:58:15Z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949D40B8F0424EB4BD8DE592FC7D9B03</vt:lpwstr>
  </property>
</Properties>
</file>