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/>
          <w:sz w:val="36"/>
          <w:szCs w:val="36"/>
        </w:rPr>
      </w:pPr>
      <w:r>
        <w:rPr>
          <w:rFonts w:ascii="Times New Roman" w:hAnsi="Times New Roman" w:eastAsia="方正小标宋简体"/>
          <w:sz w:val="36"/>
          <w:szCs w:val="36"/>
        </w:rPr>
        <w:t>屠宰企业</w:t>
      </w:r>
      <w:r>
        <w:rPr>
          <w:rFonts w:ascii="Times New Roman" w:hAnsi="Times New Roman" w:eastAsia="黑体"/>
          <w:sz w:val="36"/>
          <w:szCs w:val="36"/>
        </w:rPr>
        <w:t>明查打分</w:t>
      </w:r>
      <w:r>
        <w:rPr>
          <w:rFonts w:hint="eastAsia" w:ascii="Times New Roman" w:hAnsi="Times New Roman" w:eastAsia="方正小标宋简体"/>
          <w:sz w:val="36"/>
          <w:szCs w:val="36"/>
        </w:rPr>
        <w:t>表</w:t>
      </w:r>
    </w:p>
    <w:p>
      <w:pPr>
        <w:pStyle w:val="2"/>
        <w:spacing w:line="280" w:lineRule="exact"/>
        <w:ind w:left="0" w:leftChars="0" w:firstLine="0" w:firstLineChars="0"/>
        <w:jc w:val="left"/>
        <w:rPr>
          <w:rFonts w:hint="default" w:ascii="Times New Roman" w:hAnsi="Times New Roman" w:eastAsia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被检查单位：                                             所属街道：                      检查日期：</w:t>
      </w:r>
    </w:p>
    <w:tbl>
      <w:tblPr>
        <w:tblStyle w:val="6"/>
        <w:tblW w:w="1425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3788"/>
        <w:gridCol w:w="4894"/>
        <w:gridCol w:w="995"/>
        <w:gridCol w:w="306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tblHeader/>
          <w:jc w:val="center"/>
        </w:trPr>
        <w:tc>
          <w:tcPr>
            <w:tcW w:w="1512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pStyle w:val="2"/>
              <w:spacing w:line="280" w:lineRule="exact"/>
              <w:ind w:left="0" w:leftChars="0" w:firstLine="0"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评价要点</w:t>
            </w:r>
          </w:p>
        </w:tc>
        <w:tc>
          <w:tcPr>
            <w:tcW w:w="3788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对应检查内容及分值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（单项扣完为止）</w:t>
            </w:r>
          </w:p>
        </w:tc>
        <w:tc>
          <w:tcPr>
            <w:tcW w:w="4894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评分标准</w:t>
            </w:r>
          </w:p>
        </w:tc>
        <w:tc>
          <w:tcPr>
            <w:tcW w:w="995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扣分数</w:t>
            </w:r>
          </w:p>
        </w:tc>
        <w:tc>
          <w:tcPr>
            <w:tcW w:w="3066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扣分原因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1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5.源头治理</w:t>
            </w:r>
          </w:p>
        </w:tc>
        <w:tc>
          <w:tcPr>
            <w:tcW w:w="3788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（15）严格执行生猪定点屠宰制度，得2分；否则相应扣分。</w:t>
            </w:r>
          </w:p>
          <w:p>
            <w:pPr>
              <w:widowControl/>
              <w:ind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加强牛羊等其他畜禽的屠宰管理，按法律法规要求出厂入市，得1分；否则相应扣分。</w:t>
            </w:r>
          </w:p>
        </w:tc>
        <w:tc>
          <w:tcPr>
            <w:tcW w:w="4894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生猪屠宰厂未建成具有非洲猪瘟、“瘦肉精”等检测检验能力的实验室，或发现未进行项目检验检疫，或检验检疫报告不真实的，扣0.5分。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78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894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布局不符合动物防疫条件要求，扣0.5分。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78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894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厂区周围未建围墙，生产区和非生产区未分开，无隔离设施，扣0.5分。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78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894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未定期检查各项质量管理制度落实情况，或台账记录不清晰、完整，扣0.5分。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788" w:type="dxa"/>
            <w:vMerge w:val="restart"/>
            <w:vAlign w:val="center"/>
          </w:tcPr>
          <w:p>
            <w:pPr>
              <w:widowControl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（16）健全制度机制，实行病死动物及畜禽屠宰废弃物无害化处理，得2分；否则相应扣分。</w:t>
            </w:r>
          </w:p>
        </w:tc>
        <w:tc>
          <w:tcPr>
            <w:tcW w:w="4894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未能提供委托无害化处理协议或制度，扣0.5分。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</w:p>
        </w:tc>
        <w:tc>
          <w:tcPr>
            <w:tcW w:w="3788" w:type="dxa"/>
            <w:vMerge w:val="continue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894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无害化处理记录不符合要求，扣0.5分。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78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894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录像监控记录、肉类加工废弃物处理记录、无害化处理台账，进出不一致，扣0.5分。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1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10.集中整治</w:t>
            </w:r>
          </w:p>
        </w:tc>
        <w:tc>
          <w:tcPr>
            <w:tcW w:w="3788" w:type="dxa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36）集中整治网络餐饮安全，农村假冒伪劣食品，非法添加，农兽药残留超标，保健食品行业违法生产经营和营销、欺诈误导消费，未成年人食品安全监管等群众关注的突出问题，取得显著成效，得10分；否则相应扣分。</w:t>
            </w:r>
          </w:p>
        </w:tc>
        <w:tc>
          <w:tcPr>
            <w:tcW w:w="4894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未采取有效措施开展集中整治，每发现一次，扣2分。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1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11.社会共治</w:t>
            </w:r>
          </w:p>
        </w:tc>
        <w:tc>
          <w:tcPr>
            <w:tcW w:w="3788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（39）落实普法责任制，持续加强食品安全法律法规、国家标准、科学知识的宣传教育，得2分；否则相应扣分。</w:t>
            </w:r>
          </w:p>
          <w:p>
            <w:pPr>
              <w:snapToGrid w:val="0"/>
              <w:ind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持续开展“食品安全宣传周”活动，得3分；否则不得分。</w:t>
            </w:r>
          </w:p>
          <w:p>
            <w:pPr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开展校园食品安全和营养教育，得2分；否则相应扣分。</w:t>
            </w:r>
          </w:p>
        </w:tc>
        <w:tc>
          <w:tcPr>
            <w:tcW w:w="4894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未开展食品安全宣传教育，每发现一次，扣0.5分。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spacing w:beforeLines="50" w:line="360" w:lineRule="exact"/>
        <w:jc w:val="left"/>
        <w:rPr>
          <w:rFonts w:hint="default" w:ascii="Times New Roman" w:hAnsi="Times New Roman" w:eastAsia="楷体_GB231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楷体_GB2312"/>
          <w:sz w:val="24"/>
          <w:szCs w:val="24"/>
          <w:lang w:val="en-US" w:eastAsia="zh-CN"/>
        </w:rPr>
        <w:t>检查人员签字：                                               被检查单位签字：</w:t>
      </w:r>
      <w:bookmarkStart w:id="0" w:name="_GoBack"/>
      <w:bookmarkEnd w:id="0"/>
    </w:p>
    <w:sectPr>
      <w:footerReference r:id="rId3" w:type="default"/>
      <w:pgSz w:w="16838" w:h="11906" w:orient="landscape"/>
      <w:pgMar w:top="1179" w:right="1440" w:bottom="1179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731D6"/>
    <w:rsid w:val="0B705F30"/>
    <w:rsid w:val="2B1B697F"/>
    <w:rsid w:val="451C0458"/>
    <w:rsid w:val="49046A73"/>
    <w:rsid w:val="675C0386"/>
    <w:rsid w:val="6F743130"/>
    <w:rsid w:val="70EF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qFormat/>
    <w:uiPriority w:val="0"/>
    <w:pPr>
      <w:ind w:firstLine="420" w:firstLineChars="200"/>
    </w:pPr>
  </w:style>
  <w:style w:type="paragraph" w:styleId="3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Administrator.SC-201902141428</dc:creator>
  <cp:lastModifiedBy>~阳光D海岸~</cp:lastModifiedBy>
  <dcterms:modified xsi:type="dcterms:W3CDTF">2021-08-11T09:55:34Z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949D40B8F0424EB4BD8DE592FC7D9B03</vt:lpwstr>
  </property>
</Properties>
</file>