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hint="eastAsia" w:ascii="Times New Roman" w:hAnsi="Times New Roman" w:eastAsia="方正小标宋简体"/>
          <w:sz w:val="36"/>
          <w:szCs w:val="36"/>
        </w:rPr>
        <w:t>保健食品经营店</w:t>
      </w:r>
      <w:r>
        <w:rPr>
          <w:rFonts w:ascii="Times New Roman" w:hAnsi="Times New Roman" w:eastAsia="黑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4721"/>
        <w:gridCol w:w="3961"/>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4721"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3961"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snapToGrid w:val="0"/>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4721"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（21）对食品生产经营企业全面实行食品安全风险分级管理，得2分；否则相应扣分。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3961"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512" w:type="dxa"/>
            <w:vAlign w:val="center"/>
          </w:tcPr>
          <w:p>
            <w:pPr>
              <w:snapToGrid w:val="0"/>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4721"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3961"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4721" w:type="dxa"/>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3961"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黑体"/>
                <w:sz w:val="24"/>
                <w:szCs w:val="24"/>
              </w:rPr>
            </w:pPr>
            <w:r>
              <w:rPr>
                <w:rFonts w:ascii="Times New Roman" w:hAnsi="Times New Roman" w:eastAsia="仿宋_GB2312"/>
                <w:sz w:val="24"/>
                <w:szCs w:val="24"/>
              </w:rPr>
              <w:t>19.管理责任</w:t>
            </w:r>
          </w:p>
        </w:tc>
        <w:tc>
          <w:tcPr>
            <w:tcW w:w="4721"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3961"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未建立健全食品安全管理制度，设置食品质量安全管理岗位，每发现一次，扣0.5分。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4721" w:type="dxa"/>
            <w:vMerge w:val="continue"/>
            <w:vAlign w:val="center"/>
          </w:tcPr>
          <w:p>
            <w:pPr>
              <w:keepNext/>
              <w:keepLines/>
              <w:spacing w:before="260" w:after="260"/>
              <w:jc w:val="left"/>
              <w:rPr>
                <w:rFonts w:ascii="Times New Roman" w:hAnsi="Times New Roman" w:eastAsia="仿宋_GB2312"/>
                <w:sz w:val="24"/>
                <w:szCs w:val="24"/>
              </w:rPr>
            </w:pPr>
          </w:p>
        </w:tc>
        <w:tc>
          <w:tcPr>
            <w:tcW w:w="3961"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未加大食品质量安全管理投入，扣0.5分。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4721"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3961"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4721" w:type="dxa"/>
            <w:vMerge w:val="continue"/>
            <w:vAlign w:val="center"/>
          </w:tcPr>
          <w:p>
            <w:pPr>
              <w:keepNext/>
              <w:keepLines/>
              <w:spacing w:before="260" w:after="260"/>
              <w:jc w:val="left"/>
              <w:rPr>
                <w:rFonts w:ascii="Times New Roman" w:hAnsi="Times New Roman" w:eastAsia="仿宋_GB2312"/>
                <w:sz w:val="24"/>
                <w:szCs w:val="24"/>
              </w:rPr>
            </w:pPr>
          </w:p>
        </w:tc>
        <w:tc>
          <w:tcPr>
            <w:tcW w:w="3961"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4721" w:type="dxa"/>
            <w:vMerge w:val="continue"/>
            <w:vAlign w:val="center"/>
          </w:tcPr>
          <w:p>
            <w:pPr>
              <w:keepNext/>
              <w:keepLines/>
              <w:spacing w:before="260" w:after="260"/>
              <w:jc w:val="left"/>
              <w:rPr>
                <w:rFonts w:ascii="Times New Roman" w:hAnsi="Times New Roman" w:eastAsia="仿宋_GB2312"/>
                <w:sz w:val="24"/>
                <w:szCs w:val="24"/>
              </w:rPr>
            </w:pPr>
          </w:p>
        </w:tc>
        <w:tc>
          <w:tcPr>
            <w:tcW w:w="3961" w:type="dxa"/>
            <w:tcBorders>
              <w:top w:val="single" w:color="auto" w:sz="6" w:space="0"/>
            </w:tcBorders>
            <w:vAlign w:val="center"/>
          </w:tcPr>
          <w:p>
            <w:pPr>
              <w:widowControl/>
              <w:snapToGrid w:val="0"/>
              <w:rPr>
                <w:rFonts w:ascii="Times New Roman" w:hAnsi="Times New Roman" w:eastAsia="黑体"/>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512" w:type="dxa"/>
            <w:vMerge w:val="restart"/>
            <w:vAlign w:val="center"/>
          </w:tcPr>
          <w:p>
            <w:pPr>
              <w:pStyle w:val="2"/>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20.过程控制</w:t>
            </w:r>
          </w:p>
          <w:p>
            <w:pPr>
              <w:jc w:val="center"/>
              <w:outlineLvl w:val="0"/>
              <w:rPr>
                <w:rFonts w:ascii="Times New Roman" w:hAnsi="Times New Roman" w:eastAsia="仿宋_GB2312"/>
                <w:sz w:val="24"/>
                <w:szCs w:val="24"/>
              </w:rPr>
            </w:pPr>
          </w:p>
        </w:tc>
        <w:tc>
          <w:tcPr>
            <w:tcW w:w="4721" w:type="dxa"/>
            <w:vMerge w:val="restart"/>
            <w:vAlign w:val="center"/>
          </w:tcPr>
          <w:p>
            <w:pPr>
              <w:ind w:firstLine="0" w:firstLineChars="0"/>
              <w:jc w:val="left"/>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接触直接入口食品的从业人员持有效健康证明上岗，生产加工经营过程符合相应生产工艺和操作规范，得2分；否则相应扣分。</w:t>
            </w:r>
          </w:p>
        </w:tc>
        <w:tc>
          <w:tcPr>
            <w:tcW w:w="3961"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721" w:type="dxa"/>
            <w:vMerge w:val="continue"/>
            <w:vAlign w:val="center"/>
          </w:tcPr>
          <w:p>
            <w:pPr>
              <w:jc w:val="left"/>
              <w:rPr>
                <w:rFonts w:ascii="Times New Roman" w:hAnsi="Times New Roman" w:eastAsia="仿宋_GB2312"/>
                <w:sz w:val="24"/>
                <w:szCs w:val="24"/>
              </w:rPr>
            </w:pPr>
          </w:p>
        </w:tc>
        <w:tc>
          <w:tcPr>
            <w:tcW w:w="3961"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721" w:type="dxa"/>
            <w:vMerge w:val="continue"/>
            <w:vAlign w:val="center"/>
          </w:tcPr>
          <w:p>
            <w:pPr>
              <w:jc w:val="left"/>
              <w:rPr>
                <w:rFonts w:ascii="Times New Roman" w:hAnsi="Times New Roman" w:eastAsia="仿宋_GB2312"/>
                <w:sz w:val="24"/>
                <w:szCs w:val="24"/>
              </w:rPr>
            </w:pPr>
          </w:p>
        </w:tc>
        <w:tc>
          <w:tcPr>
            <w:tcW w:w="3961"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未按规定向辖区监管部门提交自查报告，扣0.5分。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721" w:type="dxa"/>
            <w:vMerge w:val="continue"/>
            <w:vAlign w:val="center"/>
          </w:tcPr>
          <w:p>
            <w:pPr>
              <w:jc w:val="left"/>
              <w:rPr>
                <w:rFonts w:ascii="Times New Roman" w:hAnsi="Times New Roman" w:eastAsia="仿宋_GB2312"/>
                <w:sz w:val="24"/>
                <w:szCs w:val="24"/>
              </w:rPr>
            </w:pPr>
          </w:p>
        </w:tc>
        <w:tc>
          <w:tcPr>
            <w:tcW w:w="3961"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对检查发现的问题，未查找原因或未严格落实整改措施，扣0.5分。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jc w:val="center"/>
              <w:rPr>
                <w:rFonts w:ascii="Times New Roman" w:hAnsi="Times New Roman" w:eastAsia="仿宋_GB2312"/>
                <w:sz w:val="24"/>
                <w:szCs w:val="24"/>
              </w:rPr>
            </w:pPr>
          </w:p>
        </w:tc>
        <w:tc>
          <w:tcPr>
            <w:tcW w:w="4721" w:type="dxa"/>
            <w:vAlign w:val="center"/>
          </w:tcPr>
          <w:p>
            <w:pPr>
              <w:widowControl/>
              <w:adjustRightInd w:val="0"/>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（63）食品经营者经营规范，无虚假夸大宣传行为，得3分；否则相应扣分。</w:t>
            </w:r>
          </w:p>
        </w:tc>
        <w:tc>
          <w:tcPr>
            <w:tcW w:w="3961" w:type="dxa"/>
            <w:tcBorders>
              <w:top w:val="single" w:color="auto" w:sz="6" w:space="0"/>
            </w:tcBorders>
            <w:vAlign w:val="center"/>
          </w:tcPr>
          <w:p>
            <w:pPr>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存在虚假夸大宣传行为，每发现一次，扣1分。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23.诚信文化</w:t>
            </w:r>
          </w:p>
        </w:tc>
        <w:tc>
          <w:tcPr>
            <w:tcW w:w="4721" w:type="dxa"/>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（72）食品生产经营企业开展诚信守法教育活动，建立诚信守法经营的企业文化，得5分；否则相应扣分。</w:t>
            </w:r>
          </w:p>
        </w:tc>
        <w:tc>
          <w:tcPr>
            <w:tcW w:w="3961" w:type="dxa"/>
            <w:tcBorders>
              <w:top w:val="single" w:color="auto" w:sz="6" w:space="0"/>
              <w:bottom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 xml:space="preserve">检查人员签字：                  </w:t>
      </w:r>
      <w:bookmarkStart w:id="0" w:name="_GoBack"/>
      <w:bookmarkEnd w:id="0"/>
      <w:r>
        <w:rPr>
          <w:rFonts w:hint="eastAsia" w:ascii="Times New Roman" w:hAnsi="Times New Roman" w:eastAsia="楷体_GB2312"/>
          <w:sz w:val="24"/>
          <w:szCs w:val="24"/>
          <w:lang w:val="en-US" w:eastAsia="zh-CN"/>
        </w:rPr>
        <w:t xml:space="preserve">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4.“（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5.“（62）超市开展“放心食品超市自我承诺”，强化食品安全自查并定期向辖区市场监管部门提交食品安全自查报告”中内容依据《市场监管总局办公厅关于印发&lt;食品销售者食品安全主体责任指南（试行）&gt;的通知》进行评价。</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17A04B6D"/>
    <w:rsid w:val="2C4569BB"/>
    <w:rsid w:val="4052189E"/>
    <w:rsid w:val="451C0458"/>
    <w:rsid w:val="49046A73"/>
    <w:rsid w:val="4CE70F48"/>
    <w:rsid w:val="59BD528D"/>
    <w:rsid w:val="6F743130"/>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2021-08-11T09:46:22Z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