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方正小标宋简体"/>
          <w:sz w:val="36"/>
          <w:szCs w:val="36"/>
        </w:rPr>
      </w:pPr>
      <w:r>
        <w:rPr>
          <w:rFonts w:ascii="Times New Roman" w:hAnsi="Times New Roman" w:eastAsia="方正小标宋简体"/>
          <w:sz w:val="36"/>
          <w:szCs w:val="36"/>
        </w:rPr>
        <w:t>食品超市</w:t>
      </w:r>
      <w:r>
        <w:rPr>
          <w:rFonts w:ascii="Times New Roman" w:hAnsi="Times New Roman" w:eastAsia="黑体"/>
          <w:sz w:val="36"/>
          <w:szCs w:val="36"/>
        </w:rPr>
        <w:t>明查打分</w:t>
      </w:r>
      <w:r>
        <w:rPr>
          <w:rFonts w:hint="eastAsia" w:ascii="Times New Roman" w:hAnsi="Times New Roman" w:eastAsia="方正小标宋简体"/>
          <w:sz w:val="36"/>
          <w:szCs w:val="36"/>
        </w:rPr>
        <w:t>表</w:t>
      </w:r>
    </w:p>
    <w:p>
      <w:pPr>
        <w:pStyle w:val="2"/>
        <w:spacing w:line="280" w:lineRule="exact"/>
        <w:ind w:left="0" w:leftChars="0" w:firstLine="0" w:firstLineChars="0"/>
        <w:jc w:val="left"/>
        <w:rPr>
          <w:rFonts w:hint="default" w:ascii="Times New Roman" w:hAnsi="Times New Roman" w:eastAsia="仿宋_GB2312"/>
          <w:sz w:val="28"/>
          <w:szCs w:val="28"/>
          <w:lang w:val="en-US" w:eastAsia="zh-CN"/>
        </w:rPr>
      </w:pPr>
      <w:r>
        <w:rPr>
          <w:rFonts w:hint="eastAsia" w:ascii="Times New Roman" w:hAnsi="Times New Roman" w:eastAsia="仿宋_GB2312"/>
          <w:sz w:val="24"/>
          <w:szCs w:val="24"/>
          <w:lang w:val="en-US" w:eastAsia="zh-CN"/>
        </w:rPr>
        <w:t>被检查单位：                                             所属街道：                      检查日期：</w:t>
      </w:r>
    </w:p>
    <w:tbl>
      <w:tblPr>
        <w:tblStyle w:val="6"/>
        <w:tblW w:w="14255" w:type="dxa"/>
        <w:jc w:val="center"/>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3876"/>
        <w:gridCol w:w="4806"/>
        <w:gridCol w:w="995"/>
        <w:gridCol w:w="3066"/>
      </w:tblGrid>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481" w:hRule="atLeast"/>
          <w:tblHeader/>
          <w:jc w:val="center"/>
        </w:trPr>
        <w:tc>
          <w:tcPr>
            <w:tcW w:w="1512" w:type="dxa"/>
            <w:tcBorders>
              <w:top w:val="single" w:color="auto" w:sz="6" w:space="0"/>
            </w:tcBorders>
            <w:shd w:val="clear" w:color="auto" w:fill="BDD6EE" w:themeFill="accent1" w:themeFillTint="66"/>
            <w:vAlign w:val="center"/>
          </w:tcPr>
          <w:p>
            <w:pPr>
              <w:pStyle w:val="2"/>
              <w:spacing w:line="280" w:lineRule="exact"/>
              <w:ind w:left="0" w:leftChars="0" w:firstLine="0" w:firstLineChars="0"/>
              <w:jc w:val="center"/>
              <w:rPr>
                <w:rFonts w:ascii="Times New Roman" w:hAnsi="Times New Roman"/>
                <w:sz w:val="24"/>
                <w:szCs w:val="24"/>
              </w:rPr>
            </w:pPr>
            <w:r>
              <w:rPr>
                <w:rFonts w:ascii="Times New Roman" w:hAnsi="Times New Roman" w:eastAsia="黑体"/>
                <w:sz w:val="24"/>
                <w:szCs w:val="24"/>
              </w:rPr>
              <w:t>评价要点</w:t>
            </w:r>
          </w:p>
        </w:tc>
        <w:tc>
          <w:tcPr>
            <w:tcW w:w="3876" w:type="dxa"/>
            <w:tcBorders>
              <w:top w:val="single" w:color="auto" w:sz="6" w:space="0"/>
            </w:tcBorders>
            <w:shd w:val="clear" w:color="auto" w:fill="BDD6EE" w:themeFill="accent1" w:themeFillTint="66"/>
            <w:vAlign w:val="center"/>
          </w:tcPr>
          <w:p>
            <w:pPr>
              <w:jc w:val="center"/>
              <w:rPr>
                <w:rFonts w:ascii="Times New Roman" w:hAnsi="Times New Roman" w:eastAsia="黑体"/>
                <w:sz w:val="24"/>
                <w:szCs w:val="24"/>
              </w:rPr>
            </w:pPr>
            <w:r>
              <w:rPr>
                <w:rFonts w:ascii="Times New Roman" w:hAnsi="Times New Roman" w:eastAsia="黑体"/>
                <w:sz w:val="24"/>
                <w:szCs w:val="24"/>
              </w:rPr>
              <w:t>对应检查内容及分值</w:t>
            </w:r>
          </w:p>
          <w:p>
            <w:pPr>
              <w:spacing w:line="280" w:lineRule="exact"/>
              <w:jc w:val="center"/>
              <w:rPr>
                <w:rFonts w:ascii="Times New Roman" w:hAnsi="Times New Roman" w:eastAsia="黑体"/>
                <w:sz w:val="24"/>
                <w:szCs w:val="24"/>
              </w:rPr>
            </w:pPr>
            <w:r>
              <w:rPr>
                <w:rFonts w:ascii="Times New Roman" w:hAnsi="Times New Roman" w:eastAsia="黑体"/>
                <w:sz w:val="24"/>
                <w:szCs w:val="24"/>
              </w:rPr>
              <w:t>（单项扣完为止）</w:t>
            </w:r>
          </w:p>
        </w:tc>
        <w:tc>
          <w:tcPr>
            <w:tcW w:w="4806" w:type="dxa"/>
            <w:tcBorders>
              <w:top w:val="single" w:color="auto" w:sz="6" w:space="0"/>
            </w:tcBorders>
            <w:shd w:val="clear" w:color="auto" w:fill="BDD6EE" w:themeFill="accent1" w:themeFillTint="66"/>
            <w:vAlign w:val="center"/>
          </w:tcPr>
          <w:p>
            <w:pPr>
              <w:spacing w:line="280" w:lineRule="exact"/>
              <w:jc w:val="center"/>
              <w:rPr>
                <w:rFonts w:ascii="Times New Roman" w:hAnsi="Times New Roman" w:eastAsia="黑体"/>
                <w:sz w:val="24"/>
                <w:szCs w:val="24"/>
              </w:rPr>
            </w:pPr>
            <w:r>
              <w:rPr>
                <w:rFonts w:ascii="Times New Roman" w:hAnsi="Times New Roman" w:eastAsia="黑体"/>
                <w:sz w:val="24"/>
                <w:szCs w:val="24"/>
              </w:rPr>
              <w:t>评分标准</w:t>
            </w:r>
          </w:p>
        </w:tc>
        <w:tc>
          <w:tcPr>
            <w:tcW w:w="995" w:type="dxa"/>
            <w:tcBorders>
              <w:top w:val="single" w:color="auto" w:sz="6" w:space="0"/>
            </w:tcBorders>
            <w:shd w:val="clear" w:color="auto" w:fill="BDD6EE" w:themeFill="accent1" w:themeFillTint="66"/>
            <w:vAlign w:val="center"/>
          </w:tcPr>
          <w:p>
            <w:pPr>
              <w:spacing w:line="280" w:lineRule="exact"/>
              <w:jc w:val="center"/>
              <w:rPr>
                <w:rFonts w:hint="default" w:ascii="Times New Roman" w:hAnsi="Times New Roman" w:eastAsia="黑体"/>
                <w:sz w:val="24"/>
                <w:szCs w:val="24"/>
                <w:lang w:val="en-US" w:eastAsia="zh-CN"/>
              </w:rPr>
            </w:pPr>
            <w:r>
              <w:rPr>
                <w:rFonts w:hint="eastAsia" w:ascii="Times New Roman" w:hAnsi="Times New Roman" w:eastAsia="黑体"/>
                <w:sz w:val="24"/>
                <w:szCs w:val="24"/>
                <w:lang w:val="en-US" w:eastAsia="zh-CN"/>
              </w:rPr>
              <w:t>扣分数</w:t>
            </w:r>
          </w:p>
        </w:tc>
        <w:tc>
          <w:tcPr>
            <w:tcW w:w="3066" w:type="dxa"/>
            <w:tcBorders>
              <w:top w:val="single" w:color="auto" w:sz="6" w:space="0"/>
            </w:tcBorders>
            <w:shd w:val="clear" w:color="auto" w:fill="BDD6EE" w:themeFill="accent1" w:themeFillTint="66"/>
            <w:vAlign w:val="center"/>
          </w:tcPr>
          <w:p>
            <w:pPr>
              <w:spacing w:line="280" w:lineRule="exact"/>
              <w:jc w:val="center"/>
              <w:rPr>
                <w:rFonts w:hint="default" w:ascii="Times New Roman" w:hAnsi="Times New Roman" w:eastAsia="黑体"/>
                <w:sz w:val="24"/>
                <w:szCs w:val="24"/>
                <w:lang w:val="en-US" w:eastAsia="zh-CN"/>
              </w:rPr>
            </w:pPr>
            <w:r>
              <w:rPr>
                <w:rFonts w:hint="eastAsia" w:ascii="Times New Roman" w:hAnsi="Times New Roman" w:eastAsia="黑体"/>
                <w:sz w:val="24"/>
                <w:szCs w:val="24"/>
                <w:lang w:val="en-US" w:eastAsia="zh-CN"/>
              </w:rPr>
              <w:t>扣分原因</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1512" w:type="dxa"/>
            <w:vMerge w:val="restart"/>
            <w:vAlign w:val="center"/>
          </w:tcPr>
          <w:p>
            <w:pPr>
              <w:snapToGrid w:val="0"/>
              <w:spacing w:line="240" w:lineRule="exact"/>
              <w:jc w:val="center"/>
              <w:rPr>
                <w:rFonts w:ascii="Times New Roman" w:hAnsi="Times New Roman" w:eastAsia="仿宋_GB2312"/>
                <w:sz w:val="24"/>
                <w:szCs w:val="24"/>
              </w:rPr>
            </w:pPr>
            <w:r>
              <w:rPr>
                <w:rFonts w:ascii="Times New Roman" w:hAnsi="Times New Roman" w:eastAsia="仿宋_GB2312"/>
                <w:sz w:val="24"/>
                <w:szCs w:val="24"/>
              </w:rPr>
              <w:t>7.过程监督</w:t>
            </w:r>
          </w:p>
        </w:tc>
        <w:tc>
          <w:tcPr>
            <w:tcW w:w="3876" w:type="dxa"/>
            <w:vAlign w:val="center"/>
          </w:tcPr>
          <w:p>
            <w:pPr>
              <w:snapToGrid w:val="0"/>
              <w:rPr>
                <w:rFonts w:ascii="Times New Roman" w:hAnsi="Times New Roman" w:eastAsia="仿宋_GB2312"/>
                <w:sz w:val="24"/>
                <w:szCs w:val="24"/>
              </w:rPr>
            </w:pPr>
            <w:r>
              <w:rPr>
                <w:rFonts w:ascii="Times New Roman" w:hAnsi="Times New Roman" w:eastAsia="仿宋_GB2312"/>
                <w:sz w:val="24"/>
                <w:szCs w:val="24"/>
              </w:rPr>
              <w:t>（21）对食品生产经营者全面实行食品安全风险分级动态管理，得2分；否则相应扣分。</w:t>
            </w:r>
          </w:p>
          <w:p>
            <w:pPr>
              <w:ind w:firstLine="480" w:firstLineChars="200"/>
              <w:jc w:val="left"/>
              <w:rPr>
                <w:rFonts w:ascii="Times New Roman" w:hAnsi="Times New Roman" w:eastAsia="仿宋_GB2312"/>
                <w:sz w:val="24"/>
                <w:szCs w:val="24"/>
              </w:rPr>
            </w:pPr>
            <w:r>
              <w:rPr>
                <w:rFonts w:ascii="Times New Roman" w:hAnsi="Times New Roman" w:eastAsia="仿宋_GB2312"/>
                <w:sz w:val="24"/>
                <w:szCs w:val="24"/>
              </w:rPr>
              <w:t>在日常监督检查全覆盖基础上，对一般风险生产企业实施按比例“双随机”抽查，对高风险企业实施重点检查，对问题线索企业实施飞行检查，督促企业生产经营过程持续合规，得3分；否则相应扣分。</w:t>
            </w:r>
          </w:p>
        </w:tc>
        <w:tc>
          <w:tcPr>
            <w:tcW w:w="4806" w:type="dxa"/>
            <w:tcBorders>
              <w:top w:val="single" w:color="auto" w:sz="6" w:space="0"/>
            </w:tcBorders>
            <w:vAlign w:val="center"/>
          </w:tcPr>
          <w:p>
            <w:pPr>
              <w:widowControl/>
              <w:rPr>
                <w:rFonts w:ascii="Times New Roman" w:hAnsi="Times New Roman" w:eastAsia="仿宋_GB2312"/>
                <w:sz w:val="24"/>
                <w:szCs w:val="24"/>
              </w:rPr>
            </w:pPr>
            <w:r>
              <w:rPr>
                <w:rFonts w:ascii="Times New Roman" w:hAnsi="Times New Roman" w:eastAsia="仿宋_GB2312"/>
                <w:sz w:val="24"/>
                <w:szCs w:val="24"/>
              </w:rPr>
              <w:t>根据风险分级，核实年度时间内监督检查频次，未满足频次要求或动态管理的，每发现一次，扣0.5分。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keepNext/>
              <w:keepLines/>
              <w:snapToGrid w:val="0"/>
              <w:spacing w:before="260" w:after="260" w:line="240" w:lineRule="exact"/>
              <w:jc w:val="center"/>
              <w:rPr>
                <w:rFonts w:ascii="Times New Roman" w:hAnsi="Times New Roman" w:eastAsia="仿宋_GB2312"/>
                <w:sz w:val="24"/>
                <w:szCs w:val="24"/>
              </w:rPr>
            </w:pPr>
          </w:p>
        </w:tc>
        <w:tc>
          <w:tcPr>
            <w:tcW w:w="3876" w:type="dxa"/>
            <w:vAlign w:val="center"/>
          </w:tcPr>
          <w:p>
            <w:pPr>
              <w:jc w:val="left"/>
              <w:rPr>
                <w:rFonts w:ascii="Times New Roman" w:hAnsi="Times New Roman" w:eastAsia="仿宋_GB2312"/>
                <w:sz w:val="24"/>
                <w:szCs w:val="24"/>
              </w:rPr>
            </w:pPr>
            <w:r>
              <w:rPr>
                <w:rFonts w:ascii="Times New Roman" w:hAnsi="Times New Roman" w:eastAsia="仿宋_GB2312"/>
                <w:sz w:val="24"/>
                <w:szCs w:val="24"/>
              </w:rPr>
              <w:t>（28）严格执行关于全面禁止非法野生动物交易、长江流域禁捕、反食品浪费等有关规定，得3分；否则不得分。</w:t>
            </w:r>
          </w:p>
        </w:tc>
        <w:tc>
          <w:tcPr>
            <w:tcW w:w="4806"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发现未落实反食品浪费等有关规定的，扣3分。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1120" w:hRule="atLeast"/>
          <w:jc w:val="center"/>
        </w:trPr>
        <w:tc>
          <w:tcPr>
            <w:tcW w:w="1512" w:type="dxa"/>
            <w:vAlign w:val="center"/>
          </w:tcPr>
          <w:p>
            <w:pPr>
              <w:snapToGrid w:val="0"/>
              <w:jc w:val="center"/>
              <w:rPr>
                <w:rFonts w:ascii="Times New Roman" w:hAnsi="Times New Roman" w:eastAsia="仿宋_GB2312"/>
                <w:sz w:val="24"/>
                <w:szCs w:val="24"/>
              </w:rPr>
            </w:pPr>
            <w:r>
              <w:rPr>
                <w:rFonts w:ascii="Times New Roman" w:hAnsi="Times New Roman" w:eastAsia="仿宋_GB2312"/>
                <w:sz w:val="24"/>
                <w:szCs w:val="24"/>
              </w:rPr>
              <w:t>10.集中整治</w:t>
            </w:r>
          </w:p>
        </w:tc>
        <w:tc>
          <w:tcPr>
            <w:tcW w:w="3876" w:type="dxa"/>
            <w:vAlign w:val="center"/>
          </w:tcPr>
          <w:p>
            <w:pPr>
              <w:jc w:val="left"/>
              <w:rPr>
                <w:rFonts w:ascii="Times New Roman" w:hAnsi="Times New Roman" w:eastAsia="仿宋_GB2312"/>
                <w:sz w:val="24"/>
                <w:szCs w:val="24"/>
              </w:rPr>
            </w:pPr>
            <w:r>
              <w:rPr>
                <w:rFonts w:ascii="Times New Roman" w:hAnsi="Times New Roman" w:eastAsia="仿宋_GB2312"/>
                <w:sz w:val="24"/>
                <w:szCs w:val="24"/>
              </w:rPr>
              <w:t>（36）集中整治网络餐饮安全，农村假冒伪劣食品，非法添加，农兽药残留超标，保健食品行业违法生产经营和营销、欺诈误导消费，未成年人食品安全监管等群众关注的突出问题，取得显著成效，得10分；否则相应扣分。</w:t>
            </w:r>
          </w:p>
        </w:tc>
        <w:tc>
          <w:tcPr>
            <w:tcW w:w="4806"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未采取有效措施开展集中整治，每发现一次，扣2分。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Align w:val="center"/>
          </w:tcPr>
          <w:p>
            <w:pPr>
              <w:jc w:val="center"/>
              <w:rPr>
                <w:rFonts w:ascii="Times New Roman" w:hAnsi="Times New Roman" w:eastAsia="仿宋_GB2312"/>
                <w:sz w:val="24"/>
                <w:szCs w:val="24"/>
              </w:rPr>
            </w:pPr>
            <w:r>
              <w:rPr>
                <w:rFonts w:ascii="Times New Roman" w:hAnsi="Times New Roman" w:eastAsia="仿宋_GB2312"/>
                <w:sz w:val="24"/>
                <w:szCs w:val="24"/>
              </w:rPr>
              <w:t>11.社会共治</w:t>
            </w:r>
          </w:p>
        </w:tc>
        <w:tc>
          <w:tcPr>
            <w:tcW w:w="3876" w:type="dxa"/>
            <w:vAlign w:val="center"/>
          </w:tcPr>
          <w:p>
            <w:pPr>
              <w:snapToGrid w:val="0"/>
              <w:rPr>
                <w:rFonts w:ascii="Times New Roman" w:hAnsi="Times New Roman" w:eastAsia="仿宋_GB2312"/>
                <w:sz w:val="24"/>
                <w:szCs w:val="24"/>
              </w:rPr>
            </w:pPr>
            <w:r>
              <w:rPr>
                <w:rFonts w:ascii="Times New Roman" w:hAnsi="Times New Roman" w:eastAsia="仿宋_GB2312"/>
                <w:sz w:val="24"/>
                <w:szCs w:val="24"/>
              </w:rPr>
              <w:t>（39）落实普法责任制，持续加强食品安全法律法规、国家标准、科学知识的宣传教育，得2分；否则相应扣分。</w:t>
            </w:r>
          </w:p>
          <w:p>
            <w:pPr>
              <w:snapToGrid w:val="0"/>
              <w:ind w:firstLine="480" w:firstLineChars="200"/>
              <w:rPr>
                <w:rFonts w:ascii="Times New Roman" w:hAnsi="Times New Roman" w:eastAsia="仿宋_GB2312"/>
                <w:sz w:val="24"/>
                <w:szCs w:val="24"/>
              </w:rPr>
            </w:pPr>
            <w:r>
              <w:rPr>
                <w:rFonts w:ascii="Times New Roman" w:hAnsi="Times New Roman" w:eastAsia="仿宋_GB2312"/>
                <w:sz w:val="24"/>
                <w:szCs w:val="24"/>
              </w:rPr>
              <w:t>持续开展“食品安全宣传周”活动，得3分；否则不得分。</w:t>
            </w:r>
          </w:p>
          <w:p>
            <w:pPr>
              <w:ind w:firstLine="480" w:firstLineChars="200"/>
              <w:jc w:val="left"/>
              <w:rPr>
                <w:rFonts w:ascii="Times New Roman" w:hAnsi="Times New Roman" w:eastAsia="仿宋_GB2312"/>
                <w:sz w:val="24"/>
                <w:szCs w:val="24"/>
              </w:rPr>
            </w:pPr>
            <w:r>
              <w:rPr>
                <w:rFonts w:ascii="Times New Roman" w:hAnsi="Times New Roman" w:eastAsia="仿宋_GB2312"/>
                <w:sz w:val="24"/>
                <w:szCs w:val="24"/>
              </w:rPr>
              <w:t>开展校园食品安全和营养教育，得2分；否则相应扣分。</w:t>
            </w:r>
          </w:p>
        </w:tc>
        <w:tc>
          <w:tcPr>
            <w:tcW w:w="4806"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未开展食品安全宣传教育，每发现一次，扣0.5分。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827" w:hRule="atLeast"/>
          <w:jc w:val="center"/>
        </w:trPr>
        <w:tc>
          <w:tcPr>
            <w:tcW w:w="1512" w:type="dxa"/>
            <w:vMerge w:val="restart"/>
            <w:vAlign w:val="center"/>
          </w:tcPr>
          <w:p>
            <w:pPr>
              <w:pStyle w:val="2"/>
              <w:tabs>
                <w:tab w:val="left" w:pos="312"/>
              </w:tabs>
              <w:spacing w:line="240" w:lineRule="atLeast"/>
              <w:ind w:left="0" w:leftChars="0" w:firstLine="0" w:firstLineChars="0"/>
              <w:jc w:val="center"/>
              <w:rPr>
                <w:rFonts w:ascii="Times New Roman" w:hAnsi="Times New Roman" w:eastAsia="黑体"/>
                <w:sz w:val="24"/>
                <w:szCs w:val="24"/>
              </w:rPr>
            </w:pPr>
            <w:r>
              <w:rPr>
                <w:rFonts w:ascii="Times New Roman" w:hAnsi="Times New Roman" w:eastAsia="仿宋_GB2312"/>
                <w:sz w:val="24"/>
                <w:szCs w:val="24"/>
              </w:rPr>
              <w:t>19.管理责任</w:t>
            </w:r>
          </w:p>
        </w:tc>
        <w:tc>
          <w:tcPr>
            <w:tcW w:w="3876" w:type="dxa"/>
            <w:vMerge w:val="restart"/>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（55）食品生产经营企业建立健全食品安全管理制度，设置食品质量安全管理岗位，加大食品质量安全管理投入，得5分；否则相应扣分。</w:t>
            </w:r>
          </w:p>
        </w:tc>
        <w:tc>
          <w:tcPr>
            <w:tcW w:w="4806" w:type="dxa"/>
            <w:tcBorders>
              <w:top w:val="single" w:color="auto" w:sz="6" w:space="0"/>
            </w:tcBorders>
            <w:vAlign w:val="center"/>
          </w:tcPr>
          <w:p>
            <w:pPr>
              <w:widowControl/>
              <w:snapToGrid w:val="0"/>
              <w:rPr>
                <w:rFonts w:ascii="Times New Roman" w:hAnsi="Times New Roman" w:eastAsia="仿宋_GB2312"/>
                <w:sz w:val="24"/>
                <w:szCs w:val="24"/>
              </w:rPr>
            </w:pPr>
            <w:r>
              <w:rPr>
                <w:rFonts w:ascii="Times New Roman" w:hAnsi="Times New Roman" w:eastAsia="仿宋_GB2312"/>
                <w:sz w:val="24"/>
                <w:szCs w:val="24"/>
              </w:rPr>
              <w:t>未建立健全食品安全管理制度，设置食品质量安全管理岗位，每发现一次，扣0.5分。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keepNext/>
              <w:keepLines/>
              <w:snapToGrid w:val="0"/>
              <w:spacing w:before="260" w:after="260" w:line="240" w:lineRule="exact"/>
              <w:jc w:val="center"/>
              <w:rPr>
                <w:rFonts w:ascii="Times New Roman" w:hAnsi="Times New Roman" w:eastAsia="仿宋_GB2312"/>
                <w:sz w:val="24"/>
                <w:szCs w:val="24"/>
              </w:rPr>
            </w:pPr>
          </w:p>
        </w:tc>
        <w:tc>
          <w:tcPr>
            <w:tcW w:w="3876" w:type="dxa"/>
            <w:vMerge w:val="continue"/>
            <w:vAlign w:val="center"/>
          </w:tcPr>
          <w:p>
            <w:pPr>
              <w:keepNext/>
              <w:keepLines/>
              <w:spacing w:before="260" w:after="260"/>
              <w:jc w:val="left"/>
              <w:rPr>
                <w:rFonts w:ascii="Times New Roman" w:hAnsi="Times New Roman" w:eastAsia="仿宋_GB2312"/>
                <w:sz w:val="24"/>
                <w:szCs w:val="24"/>
              </w:rPr>
            </w:pPr>
          </w:p>
        </w:tc>
        <w:tc>
          <w:tcPr>
            <w:tcW w:w="4806" w:type="dxa"/>
            <w:tcBorders>
              <w:top w:val="single" w:color="auto" w:sz="6" w:space="0"/>
            </w:tcBorders>
            <w:vAlign w:val="center"/>
          </w:tcPr>
          <w:p>
            <w:pPr>
              <w:widowControl/>
              <w:snapToGrid w:val="0"/>
              <w:rPr>
                <w:rFonts w:ascii="Times New Roman" w:hAnsi="Times New Roman" w:eastAsia="仿宋_GB2312"/>
                <w:sz w:val="24"/>
                <w:szCs w:val="24"/>
              </w:rPr>
            </w:pPr>
            <w:r>
              <w:rPr>
                <w:rFonts w:ascii="Times New Roman" w:hAnsi="Times New Roman" w:eastAsia="仿宋_GB2312"/>
                <w:sz w:val="24"/>
                <w:szCs w:val="24"/>
              </w:rPr>
              <w:t>未加大食品质量安全管理投入，扣0.5分。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keepNext/>
              <w:keepLines/>
              <w:snapToGrid w:val="0"/>
              <w:spacing w:before="260" w:after="260" w:line="240" w:lineRule="exact"/>
              <w:jc w:val="center"/>
              <w:rPr>
                <w:rFonts w:ascii="Times New Roman" w:hAnsi="Times New Roman" w:eastAsia="仿宋_GB2312"/>
                <w:sz w:val="24"/>
                <w:szCs w:val="24"/>
              </w:rPr>
            </w:pPr>
          </w:p>
        </w:tc>
        <w:tc>
          <w:tcPr>
            <w:tcW w:w="3876" w:type="dxa"/>
            <w:vMerge w:val="restart"/>
            <w:vAlign w:val="center"/>
          </w:tcPr>
          <w:p>
            <w:pPr>
              <w:jc w:val="left"/>
              <w:rPr>
                <w:rFonts w:ascii="Times New Roman" w:hAnsi="Times New Roman" w:eastAsia="仿宋_GB2312"/>
                <w:sz w:val="24"/>
                <w:szCs w:val="24"/>
              </w:rPr>
            </w:pPr>
            <w:r>
              <w:rPr>
                <w:rFonts w:ascii="Times New Roman" w:hAnsi="Times New Roman" w:eastAsia="仿宋_GB2312"/>
                <w:sz w:val="24"/>
                <w:szCs w:val="24"/>
              </w:rPr>
              <w:t>（56）食品生产经营企业定期对从业人员及食品质量安全管理岗位人员开展培训考核，本地区食品生产经营单位负责人、食品质量安全管理岗位人员每年参加食品质量安全法律法规等集中培训不低于40学时，监督抽查考核合格率达到95%以上，得5分；否则相应扣分。</w:t>
            </w:r>
          </w:p>
        </w:tc>
        <w:tc>
          <w:tcPr>
            <w:tcW w:w="4806" w:type="dxa"/>
            <w:tcBorders>
              <w:top w:val="single" w:color="auto" w:sz="6" w:space="0"/>
            </w:tcBorders>
            <w:vAlign w:val="center"/>
          </w:tcPr>
          <w:p>
            <w:pPr>
              <w:widowControl/>
              <w:snapToGrid w:val="0"/>
              <w:rPr>
                <w:rFonts w:ascii="Times New Roman" w:hAnsi="Times New Roman" w:eastAsia="仿宋_GB2312"/>
                <w:sz w:val="24"/>
                <w:szCs w:val="24"/>
              </w:rPr>
            </w:pPr>
            <w:r>
              <w:rPr>
                <w:rFonts w:ascii="Times New Roman" w:hAnsi="Times New Roman" w:eastAsia="仿宋_GB2312"/>
                <w:sz w:val="24"/>
                <w:szCs w:val="24"/>
              </w:rPr>
              <w:t>未明确食品安全管理人员，扣0.5分。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keepNext/>
              <w:keepLines/>
              <w:snapToGrid w:val="0"/>
              <w:spacing w:before="260" w:after="260" w:line="240" w:lineRule="exact"/>
              <w:jc w:val="center"/>
              <w:rPr>
                <w:rFonts w:ascii="Times New Roman" w:hAnsi="Times New Roman" w:eastAsia="仿宋_GB2312"/>
                <w:sz w:val="24"/>
                <w:szCs w:val="24"/>
              </w:rPr>
            </w:pPr>
          </w:p>
        </w:tc>
        <w:tc>
          <w:tcPr>
            <w:tcW w:w="3876" w:type="dxa"/>
            <w:vMerge w:val="continue"/>
            <w:vAlign w:val="center"/>
          </w:tcPr>
          <w:p>
            <w:pPr>
              <w:keepNext/>
              <w:keepLines/>
              <w:spacing w:before="260" w:after="260"/>
              <w:jc w:val="left"/>
              <w:rPr>
                <w:rFonts w:ascii="Times New Roman" w:hAnsi="Times New Roman" w:eastAsia="仿宋_GB2312"/>
                <w:sz w:val="24"/>
                <w:szCs w:val="24"/>
              </w:rPr>
            </w:pPr>
          </w:p>
        </w:tc>
        <w:tc>
          <w:tcPr>
            <w:tcW w:w="4806" w:type="dxa"/>
            <w:tcBorders>
              <w:top w:val="single" w:color="auto" w:sz="6" w:space="0"/>
            </w:tcBorders>
            <w:vAlign w:val="center"/>
          </w:tcPr>
          <w:p>
            <w:pPr>
              <w:widowControl/>
              <w:snapToGrid w:val="0"/>
              <w:rPr>
                <w:rFonts w:ascii="Times New Roman" w:hAnsi="Times New Roman" w:eastAsia="仿宋_GB2312"/>
                <w:sz w:val="24"/>
                <w:szCs w:val="24"/>
              </w:rPr>
            </w:pPr>
            <w:r>
              <w:rPr>
                <w:rFonts w:ascii="Times New Roman" w:hAnsi="Times New Roman" w:eastAsia="仿宋_GB2312"/>
                <w:sz w:val="24"/>
                <w:szCs w:val="24"/>
              </w:rPr>
              <w:t>未定期对从业人员及食品安全管理人员开展培训考核，扣0.5分。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keepNext/>
              <w:keepLines/>
              <w:snapToGrid w:val="0"/>
              <w:spacing w:before="260" w:after="260" w:line="240" w:lineRule="exact"/>
              <w:jc w:val="center"/>
              <w:rPr>
                <w:rFonts w:ascii="Times New Roman" w:hAnsi="Times New Roman" w:eastAsia="仿宋_GB2312"/>
                <w:sz w:val="24"/>
                <w:szCs w:val="24"/>
              </w:rPr>
            </w:pPr>
          </w:p>
        </w:tc>
        <w:tc>
          <w:tcPr>
            <w:tcW w:w="3876" w:type="dxa"/>
            <w:vMerge w:val="continue"/>
            <w:vAlign w:val="center"/>
          </w:tcPr>
          <w:p>
            <w:pPr>
              <w:keepNext/>
              <w:keepLines/>
              <w:spacing w:before="260" w:after="260"/>
              <w:jc w:val="left"/>
              <w:rPr>
                <w:rFonts w:ascii="Times New Roman" w:hAnsi="Times New Roman" w:eastAsia="仿宋_GB2312"/>
                <w:sz w:val="24"/>
                <w:szCs w:val="24"/>
              </w:rPr>
            </w:pPr>
          </w:p>
        </w:tc>
        <w:tc>
          <w:tcPr>
            <w:tcW w:w="4806" w:type="dxa"/>
            <w:tcBorders>
              <w:top w:val="single" w:color="auto" w:sz="6" w:space="0"/>
            </w:tcBorders>
            <w:vAlign w:val="center"/>
          </w:tcPr>
          <w:p>
            <w:pPr>
              <w:widowControl/>
              <w:snapToGrid w:val="0"/>
              <w:rPr>
                <w:rFonts w:ascii="Times New Roman" w:hAnsi="Times New Roman" w:eastAsia="黑体"/>
                <w:sz w:val="24"/>
                <w:szCs w:val="24"/>
              </w:rPr>
            </w:pPr>
            <w:r>
              <w:rPr>
                <w:rFonts w:ascii="Times New Roman" w:hAnsi="Times New Roman" w:eastAsia="仿宋_GB2312"/>
                <w:sz w:val="24"/>
                <w:szCs w:val="24"/>
              </w:rPr>
              <w:t xml:space="preserve">食品质量安全管理岗位人员的法规知识抽查合格率低于95%，扣0.5分。 </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restart"/>
            <w:vAlign w:val="center"/>
          </w:tcPr>
          <w:p>
            <w:pPr>
              <w:pStyle w:val="2"/>
              <w:ind w:left="0" w:leftChars="0" w:firstLine="0" w:firstLineChars="0"/>
              <w:jc w:val="center"/>
              <w:rPr>
                <w:rFonts w:ascii="Times New Roman" w:hAnsi="Times New Roman" w:eastAsia="仿宋_GB2312"/>
                <w:sz w:val="24"/>
                <w:szCs w:val="24"/>
              </w:rPr>
            </w:pPr>
            <w:r>
              <w:rPr>
                <w:rFonts w:ascii="Times New Roman" w:hAnsi="Times New Roman" w:eastAsia="仿宋_GB2312"/>
                <w:sz w:val="24"/>
                <w:szCs w:val="24"/>
              </w:rPr>
              <w:t>20.过程控制</w:t>
            </w:r>
          </w:p>
        </w:tc>
        <w:tc>
          <w:tcPr>
            <w:tcW w:w="3876" w:type="dxa"/>
            <w:vMerge w:val="restart"/>
            <w:vAlign w:val="center"/>
          </w:tcPr>
          <w:p>
            <w:pPr>
              <w:widowControl/>
              <w:jc w:val="left"/>
              <w:rPr>
                <w:rFonts w:ascii="Times New Roman" w:hAnsi="Times New Roman" w:eastAsia="仿宋_GB2312"/>
                <w:sz w:val="24"/>
                <w:szCs w:val="24"/>
              </w:rPr>
            </w:pPr>
            <w:r>
              <w:rPr>
                <w:rFonts w:ascii="Times New Roman" w:hAnsi="Times New Roman" w:eastAsia="仿宋_GB2312"/>
                <w:sz w:val="24"/>
                <w:szCs w:val="24"/>
              </w:rPr>
              <w:t>（58）食品生产经营者依法对食品安全责任落实情况、食品安全状况进行自评自查，主动监测其上市产品质量安全状况，对存在隐患及时采取风险控制措施，得3分；否则相应扣分。</w:t>
            </w:r>
          </w:p>
          <w:p>
            <w:pPr>
              <w:ind w:firstLine="480" w:firstLineChars="200"/>
              <w:jc w:val="left"/>
              <w:rPr>
                <w:rFonts w:ascii="Times New Roman" w:hAnsi="Times New Roman" w:eastAsia="仿宋_GB2312"/>
                <w:sz w:val="24"/>
                <w:szCs w:val="24"/>
              </w:rPr>
            </w:pPr>
            <w:r>
              <w:rPr>
                <w:rFonts w:ascii="Times New Roman" w:hAnsi="Times New Roman" w:eastAsia="仿宋_GB2312"/>
                <w:sz w:val="24"/>
                <w:szCs w:val="24"/>
              </w:rPr>
              <w:t>食品生产企业自查风险报告率达到100%，得1分；否则不得分。</w:t>
            </w:r>
          </w:p>
          <w:p>
            <w:pPr>
              <w:ind w:firstLine="480" w:firstLineChars="200"/>
              <w:jc w:val="left"/>
              <w:rPr>
                <w:rFonts w:ascii="Times New Roman" w:hAnsi="Times New Roman" w:eastAsia="仿宋_GB2312"/>
                <w:sz w:val="24"/>
                <w:szCs w:val="24"/>
              </w:rPr>
            </w:pPr>
            <w:r>
              <w:rPr>
                <w:rFonts w:ascii="Times New Roman" w:hAnsi="Times New Roman" w:eastAsia="仿宋_GB2312"/>
                <w:sz w:val="24"/>
                <w:szCs w:val="24"/>
              </w:rPr>
              <w:t>接触直接入口食品的从业人员持有效健康证明上岗，生产加工经营过程严格执行食品生产经营安全相关规范要求，得2分；否则相应扣分。</w:t>
            </w:r>
          </w:p>
        </w:tc>
        <w:tc>
          <w:tcPr>
            <w:tcW w:w="4806" w:type="dxa"/>
            <w:tcBorders>
              <w:top w:val="single" w:color="auto" w:sz="6" w:space="0"/>
            </w:tcBorders>
            <w:vAlign w:val="center"/>
          </w:tcPr>
          <w:p>
            <w:pPr>
              <w:jc w:val="left"/>
              <w:rPr>
                <w:rFonts w:ascii="Times New Roman" w:hAnsi="Times New Roman" w:eastAsia="黑体"/>
                <w:sz w:val="24"/>
                <w:szCs w:val="24"/>
              </w:rPr>
            </w:pPr>
            <w:r>
              <w:rPr>
                <w:rFonts w:ascii="Times New Roman" w:hAnsi="Times New Roman" w:eastAsia="仿宋_GB2312"/>
                <w:sz w:val="24"/>
                <w:szCs w:val="24"/>
              </w:rPr>
              <w:t>未依法对食品安全责任落实情况、食品安全状况进行自评自查，每发现一次，扣0.5分。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3876" w:type="dxa"/>
            <w:vMerge w:val="continue"/>
            <w:vAlign w:val="center"/>
          </w:tcPr>
          <w:p>
            <w:pPr>
              <w:jc w:val="left"/>
              <w:rPr>
                <w:rFonts w:ascii="Times New Roman" w:hAnsi="Times New Roman" w:eastAsia="仿宋_GB2312"/>
                <w:sz w:val="24"/>
                <w:szCs w:val="24"/>
              </w:rPr>
            </w:pPr>
          </w:p>
        </w:tc>
        <w:tc>
          <w:tcPr>
            <w:tcW w:w="4806" w:type="dxa"/>
            <w:tcBorders>
              <w:top w:val="single" w:color="auto" w:sz="6" w:space="0"/>
            </w:tcBorders>
            <w:vAlign w:val="center"/>
          </w:tcPr>
          <w:p>
            <w:pPr>
              <w:jc w:val="left"/>
              <w:rPr>
                <w:rFonts w:ascii="Times New Roman" w:hAnsi="Times New Roman" w:eastAsia="黑体"/>
                <w:sz w:val="24"/>
                <w:szCs w:val="24"/>
              </w:rPr>
            </w:pPr>
            <w:r>
              <w:rPr>
                <w:rFonts w:ascii="Times New Roman" w:hAnsi="Times New Roman" w:eastAsia="仿宋_GB2312"/>
                <w:sz w:val="24"/>
                <w:szCs w:val="24"/>
              </w:rPr>
              <w:t>自查和监督检查发现问题整改率达不到100%，每发现一次，扣0.5分。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3876" w:type="dxa"/>
            <w:vMerge w:val="continue"/>
            <w:vAlign w:val="center"/>
          </w:tcPr>
          <w:p>
            <w:pPr>
              <w:jc w:val="left"/>
              <w:rPr>
                <w:rFonts w:ascii="Times New Roman" w:hAnsi="Times New Roman" w:eastAsia="仿宋_GB2312"/>
                <w:sz w:val="24"/>
                <w:szCs w:val="24"/>
              </w:rPr>
            </w:pPr>
          </w:p>
        </w:tc>
        <w:tc>
          <w:tcPr>
            <w:tcW w:w="4806" w:type="dxa"/>
            <w:tcBorders>
              <w:top w:val="single" w:color="auto" w:sz="6" w:space="0"/>
            </w:tcBorders>
            <w:vAlign w:val="center"/>
          </w:tcPr>
          <w:p>
            <w:pPr>
              <w:jc w:val="left"/>
              <w:rPr>
                <w:rFonts w:ascii="Times New Roman" w:hAnsi="Times New Roman" w:eastAsia="黑体"/>
                <w:sz w:val="24"/>
                <w:szCs w:val="24"/>
              </w:rPr>
            </w:pPr>
            <w:r>
              <w:rPr>
                <w:rFonts w:ascii="Times New Roman" w:hAnsi="Times New Roman" w:eastAsia="仿宋_GB2312"/>
                <w:sz w:val="24"/>
                <w:szCs w:val="24"/>
              </w:rPr>
              <w:t>从事接触直接入口食品工作的人员未取得健康证明，每发现一次，扣0.5分。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3876" w:type="dxa"/>
            <w:vMerge w:val="continue"/>
            <w:vAlign w:val="center"/>
          </w:tcPr>
          <w:p>
            <w:pPr>
              <w:jc w:val="left"/>
              <w:rPr>
                <w:rFonts w:ascii="Times New Roman" w:hAnsi="Times New Roman" w:eastAsia="仿宋_GB2312"/>
                <w:sz w:val="24"/>
                <w:szCs w:val="24"/>
              </w:rPr>
            </w:pPr>
          </w:p>
        </w:tc>
        <w:tc>
          <w:tcPr>
            <w:tcW w:w="4806" w:type="dxa"/>
            <w:tcBorders>
              <w:top w:val="single" w:color="auto" w:sz="6" w:space="0"/>
            </w:tcBorders>
            <w:vAlign w:val="center"/>
          </w:tcPr>
          <w:p>
            <w:pPr>
              <w:widowControl/>
              <w:rPr>
                <w:rFonts w:ascii="Times New Roman" w:hAnsi="Times New Roman" w:eastAsia="黑体"/>
                <w:sz w:val="24"/>
                <w:szCs w:val="24"/>
              </w:rPr>
            </w:pPr>
            <w:r>
              <w:rPr>
                <w:rFonts w:ascii="Times New Roman" w:hAnsi="Times New Roman" w:eastAsia="仿宋_GB2312"/>
                <w:sz w:val="24"/>
                <w:szCs w:val="24"/>
              </w:rPr>
              <w:t>对检查发现的问题，未查找原因或未严格落实整改措施，扣0.5分。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keepNext/>
              <w:keepLines/>
              <w:snapToGrid w:val="0"/>
              <w:spacing w:before="260" w:after="260" w:line="240" w:lineRule="exact"/>
              <w:jc w:val="center"/>
              <w:rPr>
                <w:rFonts w:ascii="Times New Roman" w:hAnsi="Times New Roman" w:eastAsia="仿宋_GB2312"/>
                <w:sz w:val="24"/>
                <w:szCs w:val="24"/>
              </w:rPr>
            </w:pPr>
          </w:p>
        </w:tc>
        <w:tc>
          <w:tcPr>
            <w:tcW w:w="3876" w:type="dxa"/>
            <w:vAlign w:val="center"/>
          </w:tcPr>
          <w:p>
            <w:pPr>
              <w:jc w:val="left"/>
              <w:rPr>
                <w:rFonts w:ascii="Times New Roman" w:hAnsi="Times New Roman" w:eastAsia="仿宋_GB2312"/>
                <w:sz w:val="24"/>
                <w:szCs w:val="24"/>
              </w:rPr>
            </w:pPr>
            <w:r>
              <w:rPr>
                <w:rFonts w:ascii="Times New Roman" w:hAnsi="Times New Roman" w:eastAsia="仿宋_GB2312"/>
                <w:sz w:val="24"/>
                <w:szCs w:val="24"/>
              </w:rPr>
              <w:t>（62）超市开展“放心食品超市自我承诺”，强化食品安全自查并定期向辖区市场监管部门提交食品安全自查报告，得3分；否则相应扣分。</w:t>
            </w:r>
          </w:p>
        </w:tc>
        <w:tc>
          <w:tcPr>
            <w:tcW w:w="4806" w:type="dxa"/>
            <w:tcBorders>
              <w:top w:val="single" w:color="auto" w:sz="6" w:space="0"/>
            </w:tcBorders>
            <w:vAlign w:val="center"/>
          </w:tcPr>
          <w:p>
            <w:pPr>
              <w:widowControl/>
              <w:rPr>
                <w:rFonts w:ascii="Times New Roman" w:hAnsi="Times New Roman" w:eastAsia="仿宋_GB2312"/>
                <w:sz w:val="24"/>
                <w:szCs w:val="24"/>
              </w:rPr>
            </w:pPr>
            <w:r>
              <w:rPr>
                <w:rFonts w:ascii="Times New Roman" w:hAnsi="Times New Roman" w:eastAsia="仿宋_GB2312"/>
                <w:sz w:val="24"/>
                <w:szCs w:val="24"/>
              </w:rPr>
              <w:t>推进“放心食品超市自我承诺”活动的，“放心食品超市”定期向辖区市场监管部门提交食品安全自查报告，不符合要求的，每发现一次，扣0.5分。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keepNext/>
              <w:keepLines/>
              <w:spacing w:before="260" w:after="260"/>
              <w:jc w:val="center"/>
              <w:rPr>
                <w:rFonts w:ascii="Times New Roman" w:hAnsi="Times New Roman" w:eastAsia="仿宋_GB2312"/>
                <w:sz w:val="24"/>
                <w:szCs w:val="24"/>
              </w:rPr>
            </w:pPr>
          </w:p>
        </w:tc>
        <w:tc>
          <w:tcPr>
            <w:tcW w:w="3876" w:type="dxa"/>
            <w:vMerge w:val="restart"/>
            <w:vAlign w:val="center"/>
          </w:tcPr>
          <w:p>
            <w:pPr>
              <w:widowControl/>
              <w:adjustRightInd w:val="0"/>
              <w:snapToGrid w:val="0"/>
              <w:jc w:val="left"/>
              <w:rPr>
                <w:rFonts w:ascii="Times New Roman" w:hAnsi="Times New Roman" w:eastAsia="仿宋_GB2312"/>
                <w:sz w:val="24"/>
                <w:szCs w:val="24"/>
              </w:rPr>
            </w:pPr>
            <w:r>
              <w:rPr>
                <w:rFonts w:ascii="Times New Roman" w:hAnsi="Times New Roman" w:eastAsia="仿宋_GB2312"/>
                <w:sz w:val="24"/>
                <w:szCs w:val="24"/>
              </w:rPr>
              <w:t>（63）食品经营者经营规范，无虚假夸大宣传行为，得3分；否则相应扣分。</w:t>
            </w:r>
          </w:p>
        </w:tc>
        <w:tc>
          <w:tcPr>
            <w:tcW w:w="4806" w:type="dxa"/>
            <w:tcBorders>
              <w:top w:val="single" w:color="auto" w:sz="6" w:space="0"/>
              <w:bottom w:val="single" w:color="auto" w:sz="6" w:space="0"/>
            </w:tcBorders>
            <w:vAlign w:val="center"/>
          </w:tcPr>
          <w:p>
            <w:pPr>
              <w:widowControl/>
              <w:jc w:val="left"/>
              <w:rPr>
                <w:rFonts w:ascii="Times New Roman" w:hAnsi="Times New Roman" w:eastAsia="黑体"/>
                <w:sz w:val="24"/>
                <w:szCs w:val="24"/>
              </w:rPr>
            </w:pPr>
            <w:r>
              <w:rPr>
                <w:rFonts w:ascii="Times New Roman" w:hAnsi="Times New Roman" w:eastAsia="仿宋_GB2312"/>
                <w:sz w:val="24"/>
                <w:szCs w:val="24"/>
              </w:rPr>
              <w:t>存在超范围经营保健食品的现象，扣0.5分。</w:t>
            </w:r>
          </w:p>
        </w:tc>
        <w:tc>
          <w:tcPr>
            <w:tcW w:w="995" w:type="dxa"/>
            <w:tcBorders>
              <w:top w:val="single" w:color="auto" w:sz="6" w:space="0"/>
              <w:bottom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bottom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jc w:val="center"/>
              <w:rPr>
                <w:rFonts w:ascii="Times New Roman" w:hAnsi="Times New Roman" w:eastAsia="仿宋_GB2312"/>
                <w:sz w:val="24"/>
                <w:szCs w:val="24"/>
              </w:rPr>
            </w:pPr>
          </w:p>
        </w:tc>
        <w:tc>
          <w:tcPr>
            <w:tcW w:w="3876" w:type="dxa"/>
            <w:vMerge w:val="continue"/>
            <w:vAlign w:val="center"/>
          </w:tcPr>
          <w:p>
            <w:pPr>
              <w:widowControl/>
              <w:adjustRightInd w:val="0"/>
              <w:snapToGrid w:val="0"/>
              <w:jc w:val="left"/>
              <w:rPr>
                <w:rFonts w:ascii="Times New Roman" w:hAnsi="Times New Roman" w:eastAsia="仿宋_GB2312"/>
                <w:sz w:val="24"/>
                <w:szCs w:val="24"/>
              </w:rPr>
            </w:pPr>
          </w:p>
        </w:tc>
        <w:tc>
          <w:tcPr>
            <w:tcW w:w="4806" w:type="dxa"/>
            <w:tcBorders>
              <w:top w:val="single" w:color="auto" w:sz="6" w:space="0"/>
              <w:bottom w:val="single" w:color="auto" w:sz="6" w:space="0"/>
            </w:tcBorders>
            <w:vAlign w:val="center"/>
          </w:tcPr>
          <w:p>
            <w:pPr>
              <w:widowControl/>
              <w:snapToGrid w:val="0"/>
              <w:jc w:val="left"/>
              <w:rPr>
                <w:rFonts w:ascii="Times New Roman" w:hAnsi="Times New Roman" w:eastAsia="仿宋_GB2312"/>
                <w:sz w:val="24"/>
                <w:szCs w:val="24"/>
              </w:rPr>
            </w:pPr>
            <w:r>
              <w:rPr>
                <w:rFonts w:ascii="Times New Roman" w:hAnsi="Times New Roman" w:eastAsia="仿宋_GB2312"/>
                <w:sz w:val="24"/>
                <w:szCs w:val="24"/>
              </w:rPr>
              <w:t>存在未划定专门的区域或柜台、货架摆放、销售保健食品，以及未设立“保健食品销售专区（或专柜）”提示牌的情况，扣0.5分。</w:t>
            </w:r>
          </w:p>
        </w:tc>
        <w:tc>
          <w:tcPr>
            <w:tcW w:w="995" w:type="dxa"/>
            <w:tcBorders>
              <w:top w:val="single" w:color="auto" w:sz="6" w:space="0"/>
              <w:bottom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bottom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jc w:val="center"/>
              <w:rPr>
                <w:rFonts w:ascii="Times New Roman" w:hAnsi="Times New Roman" w:eastAsia="仿宋_GB2312"/>
                <w:sz w:val="24"/>
                <w:szCs w:val="24"/>
              </w:rPr>
            </w:pPr>
          </w:p>
        </w:tc>
        <w:tc>
          <w:tcPr>
            <w:tcW w:w="3876" w:type="dxa"/>
            <w:vMerge w:val="continue"/>
            <w:vAlign w:val="center"/>
          </w:tcPr>
          <w:p>
            <w:pPr>
              <w:widowControl/>
              <w:adjustRightInd w:val="0"/>
              <w:snapToGrid w:val="0"/>
              <w:jc w:val="left"/>
              <w:rPr>
                <w:rFonts w:ascii="Times New Roman" w:hAnsi="Times New Roman" w:eastAsia="仿宋_GB2312"/>
                <w:sz w:val="24"/>
                <w:szCs w:val="24"/>
              </w:rPr>
            </w:pPr>
          </w:p>
        </w:tc>
        <w:tc>
          <w:tcPr>
            <w:tcW w:w="4806" w:type="dxa"/>
            <w:tcBorders>
              <w:top w:val="single" w:color="auto" w:sz="6" w:space="0"/>
              <w:bottom w:val="single" w:color="auto" w:sz="6" w:space="0"/>
            </w:tcBorders>
            <w:vAlign w:val="center"/>
          </w:tcPr>
          <w:p>
            <w:pPr>
              <w:widowControl/>
              <w:jc w:val="left"/>
              <w:rPr>
                <w:rFonts w:ascii="Times New Roman" w:hAnsi="Times New Roman" w:eastAsia="仿宋_GB2312"/>
                <w:sz w:val="24"/>
                <w:szCs w:val="24"/>
              </w:rPr>
            </w:pPr>
            <w:r>
              <w:rPr>
                <w:rFonts w:ascii="Times New Roman" w:hAnsi="Times New Roman" w:eastAsia="仿宋_GB2312"/>
                <w:sz w:val="24"/>
                <w:szCs w:val="24"/>
              </w:rPr>
              <w:t>存在保健食品与普通食品混放销售的情况，扣0.5分。</w:t>
            </w:r>
          </w:p>
        </w:tc>
        <w:tc>
          <w:tcPr>
            <w:tcW w:w="995" w:type="dxa"/>
            <w:tcBorders>
              <w:top w:val="single" w:color="auto" w:sz="6" w:space="0"/>
              <w:bottom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bottom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jc w:val="center"/>
              <w:rPr>
                <w:rFonts w:ascii="Times New Roman" w:hAnsi="Times New Roman" w:eastAsia="仿宋_GB2312"/>
                <w:sz w:val="24"/>
                <w:szCs w:val="24"/>
              </w:rPr>
            </w:pPr>
          </w:p>
        </w:tc>
        <w:tc>
          <w:tcPr>
            <w:tcW w:w="3876" w:type="dxa"/>
            <w:vMerge w:val="continue"/>
            <w:vAlign w:val="center"/>
          </w:tcPr>
          <w:p>
            <w:pPr>
              <w:widowControl/>
              <w:adjustRightInd w:val="0"/>
              <w:snapToGrid w:val="0"/>
              <w:jc w:val="left"/>
              <w:rPr>
                <w:rFonts w:ascii="Times New Roman" w:hAnsi="Times New Roman" w:eastAsia="仿宋_GB2312"/>
                <w:sz w:val="24"/>
                <w:szCs w:val="24"/>
              </w:rPr>
            </w:pPr>
          </w:p>
        </w:tc>
        <w:tc>
          <w:tcPr>
            <w:tcW w:w="4806" w:type="dxa"/>
            <w:tcBorders>
              <w:top w:val="single" w:color="auto" w:sz="6" w:space="0"/>
              <w:bottom w:val="single" w:color="auto" w:sz="6" w:space="0"/>
            </w:tcBorders>
            <w:vAlign w:val="center"/>
          </w:tcPr>
          <w:p>
            <w:pPr>
              <w:widowControl/>
              <w:jc w:val="left"/>
              <w:rPr>
                <w:rFonts w:ascii="Times New Roman" w:hAnsi="Times New Roman" w:eastAsia="仿宋_GB2312"/>
                <w:sz w:val="24"/>
                <w:szCs w:val="24"/>
              </w:rPr>
            </w:pPr>
            <w:r>
              <w:rPr>
                <w:rFonts w:ascii="Times New Roman" w:hAnsi="Times New Roman" w:eastAsia="仿宋_GB2312"/>
                <w:sz w:val="24"/>
                <w:szCs w:val="24"/>
              </w:rPr>
              <w:t>经营场所及其周边存在发放、张贴、悬挂虚假宣传资料等方式推销保健食品的情况，扣0.5分。</w:t>
            </w:r>
          </w:p>
        </w:tc>
        <w:tc>
          <w:tcPr>
            <w:tcW w:w="995" w:type="dxa"/>
            <w:tcBorders>
              <w:top w:val="single" w:color="auto" w:sz="6" w:space="0"/>
              <w:bottom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bottom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jc w:val="center"/>
              <w:rPr>
                <w:rFonts w:ascii="Times New Roman" w:hAnsi="Times New Roman" w:eastAsia="仿宋_GB2312"/>
                <w:sz w:val="24"/>
                <w:szCs w:val="24"/>
              </w:rPr>
            </w:pPr>
          </w:p>
        </w:tc>
        <w:tc>
          <w:tcPr>
            <w:tcW w:w="3876" w:type="dxa"/>
            <w:vMerge w:val="continue"/>
            <w:vAlign w:val="center"/>
          </w:tcPr>
          <w:p>
            <w:pPr>
              <w:widowControl/>
              <w:adjustRightInd w:val="0"/>
              <w:snapToGrid w:val="0"/>
              <w:jc w:val="left"/>
              <w:rPr>
                <w:rFonts w:ascii="Times New Roman" w:hAnsi="Times New Roman" w:eastAsia="仿宋_GB2312"/>
                <w:sz w:val="24"/>
                <w:szCs w:val="24"/>
              </w:rPr>
            </w:pPr>
          </w:p>
        </w:tc>
        <w:tc>
          <w:tcPr>
            <w:tcW w:w="4806" w:type="dxa"/>
            <w:tcBorders>
              <w:top w:val="single" w:color="auto" w:sz="6" w:space="0"/>
              <w:bottom w:val="single" w:color="auto" w:sz="6" w:space="0"/>
            </w:tcBorders>
            <w:vAlign w:val="center"/>
          </w:tcPr>
          <w:p>
            <w:pPr>
              <w:widowControl/>
              <w:jc w:val="left"/>
              <w:rPr>
                <w:rFonts w:ascii="Times New Roman" w:hAnsi="Times New Roman" w:eastAsia="仿宋_GB2312"/>
                <w:sz w:val="24"/>
                <w:szCs w:val="24"/>
              </w:rPr>
            </w:pPr>
            <w:r>
              <w:rPr>
                <w:rFonts w:ascii="Times New Roman" w:hAnsi="Times New Roman" w:eastAsia="仿宋_GB2312"/>
                <w:sz w:val="24"/>
                <w:szCs w:val="24"/>
              </w:rPr>
              <w:t>销售人员不了解保健食品与普通食品的区别，或存在误导消费者购买的行为，扣0.5分。</w:t>
            </w:r>
          </w:p>
        </w:tc>
        <w:tc>
          <w:tcPr>
            <w:tcW w:w="995" w:type="dxa"/>
            <w:tcBorders>
              <w:top w:val="single" w:color="auto" w:sz="6" w:space="0"/>
              <w:bottom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bottom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jc w:val="center"/>
              <w:rPr>
                <w:rFonts w:ascii="Times New Roman" w:hAnsi="Times New Roman" w:eastAsia="仿宋_GB2312"/>
                <w:sz w:val="24"/>
                <w:szCs w:val="24"/>
              </w:rPr>
            </w:pPr>
          </w:p>
        </w:tc>
        <w:tc>
          <w:tcPr>
            <w:tcW w:w="3876" w:type="dxa"/>
            <w:vMerge w:val="continue"/>
            <w:vAlign w:val="center"/>
          </w:tcPr>
          <w:p>
            <w:pPr>
              <w:widowControl/>
              <w:adjustRightInd w:val="0"/>
              <w:snapToGrid w:val="0"/>
              <w:jc w:val="left"/>
              <w:rPr>
                <w:rFonts w:ascii="Times New Roman" w:hAnsi="Times New Roman" w:eastAsia="仿宋_GB2312"/>
                <w:sz w:val="24"/>
                <w:szCs w:val="24"/>
              </w:rPr>
            </w:pPr>
          </w:p>
        </w:tc>
        <w:tc>
          <w:tcPr>
            <w:tcW w:w="4806" w:type="dxa"/>
            <w:tcBorders>
              <w:top w:val="single" w:color="auto" w:sz="6" w:space="0"/>
              <w:bottom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存在其他虚假夸大宣传行为，每发现一次，扣1分。</w:t>
            </w:r>
          </w:p>
        </w:tc>
        <w:tc>
          <w:tcPr>
            <w:tcW w:w="995" w:type="dxa"/>
            <w:tcBorders>
              <w:top w:val="single" w:color="auto" w:sz="6" w:space="0"/>
              <w:bottom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bottom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Align w:val="center"/>
          </w:tcPr>
          <w:p>
            <w:pPr>
              <w:jc w:val="center"/>
              <w:rPr>
                <w:rFonts w:ascii="Times New Roman" w:hAnsi="Times New Roman" w:eastAsia="仿宋_GB2312"/>
                <w:sz w:val="24"/>
                <w:szCs w:val="24"/>
              </w:rPr>
            </w:pPr>
            <w:r>
              <w:rPr>
                <w:rFonts w:ascii="Times New Roman" w:hAnsi="Times New Roman" w:eastAsia="仿宋_GB2312"/>
                <w:sz w:val="24"/>
                <w:szCs w:val="24"/>
              </w:rPr>
              <w:t>23.诚信文化</w:t>
            </w:r>
          </w:p>
        </w:tc>
        <w:tc>
          <w:tcPr>
            <w:tcW w:w="3876" w:type="dxa"/>
            <w:vAlign w:val="center"/>
          </w:tcPr>
          <w:p>
            <w:pPr>
              <w:widowControl/>
              <w:adjustRightInd w:val="0"/>
              <w:snapToGrid w:val="0"/>
              <w:jc w:val="left"/>
              <w:rPr>
                <w:rFonts w:ascii="Times New Roman" w:hAnsi="Times New Roman" w:eastAsia="仿宋_GB2312"/>
                <w:sz w:val="24"/>
                <w:szCs w:val="24"/>
              </w:rPr>
            </w:pPr>
            <w:r>
              <w:rPr>
                <w:rFonts w:ascii="Times New Roman" w:hAnsi="Times New Roman" w:eastAsia="仿宋_GB2312"/>
                <w:sz w:val="24"/>
                <w:szCs w:val="24"/>
              </w:rPr>
              <w:t>（72）食品生产经营企业开展诚信守法教育活动，建立诚信守法经营的企业文化，得5分；否则相应扣分。</w:t>
            </w:r>
          </w:p>
        </w:tc>
        <w:tc>
          <w:tcPr>
            <w:tcW w:w="4806" w:type="dxa"/>
            <w:tcBorders>
              <w:top w:val="single" w:color="auto" w:sz="6" w:space="0"/>
              <w:bottom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未开展诚信守法教育活动，无相关材料，每发现一次，扣0.5分。</w:t>
            </w:r>
          </w:p>
        </w:tc>
        <w:tc>
          <w:tcPr>
            <w:tcW w:w="995" w:type="dxa"/>
            <w:tcBorders>
              <w:top w:val="single" w:color="auto" w:sz="6" w:space="0"/>
              <w:bottom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bottom w:val="single" w:color="auto" w:sz="6" w:space="0"/>
            </w:tcBorders>
            <w:vAlign w:val="center"/>
          </w:tcPr>
          <w:p>
            <w:pPr>
              <w:widowControl/>
              <w:spacing w:line="280" w:lineRule="exact"/>
              <w:rPr>
                <w:rFonts w:ascii="Times New Roman" w:hAnsi="Times New Roman" w:eastAsia="仿宋_GB2312"/>
                <w:sz w:val="24"/>
                <w:szCs w:val="24"/>
              </w:rPr>
            </w:pPr>
          </w:p>
        </w:tc>
      </w:tr>
    </w:tbl>
    <w:p>
      <w:pPr>
        <w:spacing w:beforeLines="50" w:line="360" w:lineRule="exact"/>
        <w:jc w:val="left"/>
        <w:rPr>
          <w:rFonts w:hint="default" w:ascii="Times New Roman" w:hAnsi="Times New Roman" w:eastAsia="楷体_GB2312"/>
          <w:sz w:val="24"/>
          <w:szCs w:val="24"/>
          <w:lang w:val="en-US" w:eastAsia="zh-CN"/>
        </w:rPr>
      </w:pPr>
      <w:r>
        <w:rPr>
          <w:rFonts w:hint="eastAsia" w:ascii="Times New Roman" w:hAnsi="Times New Roman" w:eastAsia="楷体_GB2312"/>
          <w:sz w:val="24"/>
          <w:szCs w:val="24"/>
          <w:lang w:val="en-US" w:eastAsia="zh-CN"/>
        </w:rPr>
        <w:t>检查人员签字：                                               被检查单位签字：</w:t>
      </w:r>
    </w:p>
    <w:p>
      <w:pPr>
        <w:spacing w:beforeLines="50" w:line="360" w:lineRule="exact"/>
        <w:jc w:val="left"/>
        <w:rPr>
          <w:rFonts w:hint="eastAsia" w:ascii="Times New Roman" w:hAnsi="Times New Roman" w:eastAsia="楷体_GB2312"/>
          <w:sz w:val="28"/>
          <w:szCs w:val="28"/>
        </w:rPr>
      </w:pPr>
      <w:r>
        <w:rPr>
          <w:rFonts w:hint="eastAsia" w:ascii="Times New Roman" w:hAnsi="Times New Roman" w:eastAsia="楷体_GB2312"/>
          <w:sz w:val="28"/>
          <w:szCs w:val="28"/>
        </w:rPr>
        <w:t>注：</w:t>
      </w:r>
    </w:p>
    <w:p>
      <w:pPr>
        <w:spacing w:beforeLines="50" w:line="360" w:lineRule="exact"/>
        <w:jc w:val="left"/>
        <w:rPr>
          <w:rFonts w:hint="eastAsia" w:ascii="Times New Roman" w:hAnsi="Times New Roman" w:eastAsia="楷体_GB2312"/>
          <w:sz w:val="24"/>
          <w:szCs w:val="24"/>
        </w:rPr>
      </w:pPr>
      <w:r>
        <w:rPr>
          <w:rFonts w:hint="eastAsia" w:ascii="Times New Roman" w:hAnsi="Times New Roman" w:eastAsia="楷体_GB2312"/>
          <w:sz w:val="24"/>
          <w:szCs w:val="24"/>
        </w:rPr>
        <w:t>1.根据《市场监管总局关于全面推进“双随机、一公开”监管工作的通知》，在发挥“双随机、一公开”监管日常性、基础性作用的同时，对涉及重点领域食品药品、产品质量安全和特种设备安全，未列入抽查事项清单的事项，按照现有方式严格监管。重点检查属于有因检查类型，根据抽检情况、舆情反映、投诉举报等线索，对相关食品经营者开展的有针对性的监督检查。其中，监督检查事项，具体包括以下工作：（1）要对属地食品生产企业进行食品安全风险分级，明确企业风险等级，一般风险指的是低风险；（2）根据风险分级情况合理确定监督检查频次、检查方式和检查要求；（3）监督检查实施主体根据各地监管事权划分确定。</w:t>
      </w:r>
    </w:p>
    <w:p>
      <w:pPr>
        <w:spacing w:beforeLines="50" w:line="360" w:lineRule="exact"/>
        <w:jc w:val="left"/>
        <w:rPr>
          <w:rFonts w:hint="eastAsia" w:ascii="Times New Roman" w:hAnsi="Times New Roman" w:eastAsia="楷体_GB2312"/>
          <w:sz w:val="24"/>
          <w:szCs w:val="24"/>
        </w:rPr>
      </w:pPr>
      <w:r>
        <w:rPr>
          <w:rFonts w:hint="eastAsia" w:ascii="Times New Roman" w:hAnsi="Times New Roman" w:eastAsia="楷体_GB2312"/>
          <w:sz w:val="24"/>
          <w:szCs w:val="24"/>
        </w:rPr>
        <w:t>2.“（55）食品生产经营企业建立健全食品安全管理制度，设置食品质量安全管理岗位，加大食品质量安全管理投入”中，（1）“加大食品安全管理投入”包括但不限于用于改进食品安全风险管控的设备设施、追溯体系信息化建设、食品安全管理人员培训、实验室建设等。（2）食品生产企业食品安全管理制度，主要为食品安全法及其实施条例规定的企业需要建立的相关制度。</w:t>
      </w:r>
    </w:p>
    <w:p>
      <w:pPr>
        <w:spacing w:beforeLines="50" w:line="360" w:lineRule="exact"/>
        <w:jc w:val="left"/>
        <w:rPr>
          <w:rFonts w:hint="eastAsia" w:ascii="Times New Roman" w:hAnsi="Times New Roman" w:eastAsia="楷体_GB2312"/>
          <w:sz w:val="24"/>
          <w:szCs w:val="24"/>
        </w:rPr>
      </w:pPr>
      <w:r>
        <w:rPr>
          <w:rFonts w:hint="eastAsia" w:ascii="Times New Roman" w:hAnsi="Times New Roman" w:eastAsia="楷体_GB2312"/>
          <w:sz w:val="24"/>
          <w:szCs w:val="24"/>
        </w:rPr>
        <w:t>3.“（56）食品生产经营企业定期对从业人员及食品质量安全管理岗位人员开展培训考核，本地区食品生产经营单位负责人、食品质量安全管理岗位人员每年参加食品质量安全法律法规等集中培训不低于40学时，监督抽查考核合格率达到95%以上”中，“集中培训”包括但不限于各级监管部门、行业组织、企业组织的相对集中的食品安全法律法规等培训。</w:t>
      </w:r>
    </w:p>
    <w:p>
      <w:pPr>
        <w:spacing w:beforeLines="50" w:line="360" w:lineRule="exact"/>
        <w:jc w:val="left"/>
        <w:rPr>
          <w:rFonts w:hint="eastAsia" w:ascii="Times New Roman" w:hAnsi="Times New Roman" w:eastAsia="楷体_GB2312"/>
          <w:sz w:val="24"/>
          <w:szCs w:val="24"/>
        </w:rPr>
      </w:pPr>
      <w:r>
        <w:rPr>
          <w:rFonts w:hint="eastAsia" w:ascii="Times New Roman" w:hAnsi="Times New Roman" w:eastAsia="楷体_GB2312"/>
          <w:sz w:val="24"/>
          <w:szCs w:val="24"/>
        </w:rPr>
        <w:t>4.“（58）食品生产经营者依法对食品安全责任落实情况、食品安全状况进行自评自查，主动监测其上市产品质量安全状况，对存在隐患及时采取风险控制措施”中，主动监测的措施包括但不限于：企业自行检验检测、委托第三方检验评价、消费者调查、消费者投诉等。</w:t>
      </w:r>
    </w:p>
    <w:p>
      <w:pPr>
        <w:spacing w:beforeLines="50" w:line="360" w:lineRule="exact"/>
        <w:jc w:val="left"/>
        <w:rPr>
          <w:rFonts w:hint="eastAsia" w:ascii="Times New Roman" w:hAnsi="Times New Roman" w:eastAsia="楷体_GB2312"/>
          <w:sz w:val="24"/>
          <w:szCs w:val="24"/>
        </w:rPr>
      </w:pPr>
      <w:r>
        <w:rPr>
          <w:rFonts w:hint="eastAsia" w:ascii="Times New Roman" w:hAnsi="Times New Roman" w:eastAsia="楷体_GB2312"/>
          <w:sz w:val="24"/>
          <w:szCs w:val="24"/>
        </w:rPr>
        <w:t>5.“（62）超市开展“放心食品超市自我承诺”，强化食品安全自查并定期向辖区市场监管部门提交食品安全自查报告”，依据《市场监管总局办公厅关于印发&lt;食品销售者食品安全主体责任指南（试行）&gt;的通知》进行评价。</w:t>
      </w:r>
      <w:bookmarkStart w:id="0" w:name="_GoBack"/>
      <w:bookmarkEnd w:id="0"/>
    </w:p>
    <w:sectPr>
      <w:footerReference r:id="rId3" w:type="default"/>
      <w:pgSz w:w="16838" w:h="11906" w:orient="landscape"/>
      <w:pgMar w:top="1179" w:right="1440" w:bottom="1179"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6731D6"/>
    <w:rsid w:val="0B705F30"/>
    <w:rsid w:val="17A04B6D"/>
    <w:rsid w:val="451C0458"/>
    <w:rsid w:val="49046A73"/>
    <w:rsid w:val="6F743130"/>
    <w:rsid w:val="70EF01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semiHidden/>
    <w:qFormat/>
    <w:uiPriority w:val="0"/>
    <w:pPr>
      <w:ind w:firstLine="420" w:firstLineChars="200"/>
    </w:pPr>
  </w:style>
  <w:style w:type="paragraph" w:styleId="3">
    <w:name w:val="Body Text Indent"/>
    <w:basedOn w:val="1"/>
    <w:semiHidden/>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Administrator.SC-201902141428</dc:creator>
  <cp:lastModifiedBy>~阳光D海岸~</cp:lastModifiedBy>
  <dcterms:modified xsi:type="dcterms:W3CDTF">2021-08-11T09:41:37Z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949D40B8F0424EB4BD8DE592FC7D9B03</vt:lpwstr>
  </property>
</Properties>
</file>