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规模以上食品生产企业明查打分表</w:t>
      </w:r>
    </w:p>
    <w:p>
      <w:pPr>
        <w:pStyle w:val="2"/>
        <w:spacing w:line="280" w:lineRule="exact"/>
        <w:ind w:left="0" w:leftChars="0" w:firstLine="0" w:firstLineChars="0"/>
        <w:jc w:val="left"/>
        <w:rPr>
          <w:rFonts w:hint="default"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1512" w:type="dxa"/>
            <w:vMerge w:val="restart"/>
            <w:tcBorders>
              <w:top w:val="single" w:color="auto" w:sz="6" w:space="0"/>
            </w:tcBorders>
            <w:vAlign w:val="center"/>
          </w:tcPr>
          <w:p>
            <w:pPr>
              <w:pStyle w:val="2"/>
              <w:spacing w:line="280" w:lineRule="exac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spacing w:line="280" w:lineRule="exact"/>
              <w:ind w:firstLine="480" w:firstLineChars="200"/>
              <w:jc w:val="left"/>
              <w:rPr>
                <w:rFonts w:ascii="Times New Roman" w:hAnsi="Times New Roman" w:eastAsia="黑体"/>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tcPr>
          <w:p>
            <w:pPr>
              <w:keepNext/>
              <w:keepLines/>
              <w:widowControl/>
              <w:spacing w:before="260" w:after="260" w:line="280" w:lineRule="exact"/>
              <w:jc w:val="left"/>
              <w:rPr>
                <w:rFonts w:ascii="Times New Roman" w:hAnsi="Times New Roman"/>
                <w:sz w:val="24"/>
                <w:szCs w:val="24"/>
              </w:rPr>
            </w:pPr>
          </w:p>
        </w:tc>
        <w:tc>
          <w:tcPr>
            <w:tcW w:w="3404" w:type="dxa"/>
            <w:tcBorders>
              <w:top w:val="single" w:color="auto" w:sz="6" w:space="0"/>
            </w:tcBorders>
            <w:vAlign w:val="center"/>
          </w:tcPr>
          <w:p>
            <w:pPr>
              <w:snapToGrid w:val="0"/>
              <w:spacing w:line="280" w:lineRule="exact"/>
              <w:jc w:val="left"/>
              <w:rPr>
                <w:rFonts w:ascii="Times New Roman" w:hAnsi="Times New Roman"/>
                <w:sz w:val="24"/>
                <w:szCs w:val="24"/>
              </w:rPr>
            </w:pPr>
            <w:r>
              <w:rPr>
                <w:rFonts w:ascii="Times New Roman" w:hAnsi="Times New Roman" w:eastAsia="仿宋_GB2312"/>
                <w:sz w:val="24"/>
                <w:szCs w:val="24"/>
              </w:rPr>
              <w:t>（22）持续加大乳制品、肉制品、白酒、食用植物油等大型食品生产企业风险防控力度，得3分；否则相应扣分。</w:t>
            </w:r>
          </w:p>
        </w:tc>
        <w:tc>
          <w:tcPr>
            <w:tcW w:w="5278" w:type="dxa"/>
            <w:tcBorders>
              <w:top w:val="single" w:color="auto" w:sz="6" w:space="0"/>
            </w:tcBorders>
            <w:vAlign w:val="center"/>
          </w:tcPr>
          <w:p>
            <w:pPr>
              <w:spacing w:line="280" w:lineRule="exact"/>
              <w:rPr>
                <w:rFonts w:ascii="Times New Roman" w:hAnsi="Times New Roman" w:eastAsia="仿宋_GB2312"/>
                <w:sz w:val="24"/>
                <w:szCs w:val="24"/>
              </w:rPr>
            </w:pPr>
            <w:r>
              <w:rPr>
                <w:rFonts w:ascii="Times New Roman" w:hAnsi="Times New Roman" w:eastAsia="仿宋_GB2312"/>
                <w:sz w:val="24"/>
                <w:szCs w:val="24"/>
              </w:rPr>
              <w:t>乳制品、肉制品、白酒、食用植物油等大型食品生产企业未见开展风险防控工作，或风险防控不到位、发现重大风险未及时采取相应措施的，每发现一次，扣0.5分。</w:t>
            </w:r>
          </w:p>
        </w:tc>
        <w:tc>
          <w:tcPr>
            <w:tcW w:w="995" w:type="dxa"/>
            <w:tcBorders>
              <w:top w:val="single" w:color="auto" w:sz="6" w:space="0"/>
            </w:tcBorders>
            <w:vAlign w:val="center"/>
          </w:tcPr>
          <w:p>
            <w:pPr>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napToGrid w:val="0"/>
              <w:spacing w:line="28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pStyle w:val="2"/>
              <w:tabs>
                <w:tab w:val="left" w:pos="312"/>
              </w:tabs>
              <w:spacing w:line="280" w:lineRule="exac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19.管理制度</w:t>
            </w:r>
          </w:p>
        </w:tc>
        <w:tc>
          <w:tcPr>
            <w:tcW w:w="3404" w:type="dxa"/>
            <w:vMerge w:val="restart"/>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未建立健全食品安全管理制度，设置食品质量安全管理岗位，每发现一次，扣0.5分。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未见加大食品质量安全管理投入有关证明的，扣0.5分。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restart"/>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pStyle w:val="2"/>
              <w:spacing w:line="280" w:lineRule="exact"/>
              <w:ind w:left="0" w:leftChars="0" w:firstLine="0" w:firstLineChars="0"/>
              <w:jc w:val="center"/>
              <w:rPr>
                <w:rFonts w:ascii="Times New Roman" w:hAnsi="Times New Roman" w:eastAsia="黑体"/>
                <w:sz w:val="24"/>
                <w:szCs w:val="24"/>
              </w:rPr>
            </w:pPr>
            <w:r>
              <w:rPr>
                <w:rFonts w:ascii="Times New Roman" w:hAnsi="Times New Roman" w:eastAsia="仿宋_GB2312"/>
                <w:sz w:val="24"/>
                <w:szCs w:val="24"/>
              </w:rPr>
              <w:t>20.过程控制</w:t>
            </w:r>
          </w:p>
        </w:tc>
        <w:tc>
          <w:tcPr>
            <w:tcW w:w="3404" w:type="dxa"/>
            <w:vMerge w:val="restart"/>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spacing w:line="280" w:lineRule="exact"/>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员持有效健康证明上岗，生产加工经营过程严格执行食品生产经营安全相关规范要求，得2分；否则相应扣分。</w:t>
            </w:r>
            <w:bookmarkStart w:id="0" w:name="_GoBack"/>
            <w:bookmarkEnd w:id="0"/>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生产加工经营过程不符合相应生产工艺和操作规范，每发现一次，扣0.5分。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404" w:type="dxa"/>
            <w:vMerge w:val="continue"/>
            <w:vAlign w:val="center"/>
          </w:tcPr>
          <w:p>
            <w:pPr>
              <w:spacing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加工场所内环境（包括地面、排水沟、墙面、顶棚、门窗等）未保持清洁，扣0.5分。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车间入口处及车间内必要处未设置更衣室，扣0.5分。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设置更衣室，但未有效发挥洗手、干手和消毒作用，扣0.5分。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仓库内原料、半成品、成品、包装材料未分设贮存场所、或分区码放，扣0.5分。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未建立和保存食品原辅料、食品添加剂、食品相关产品的进货查验、索证索票、贮存、保管记录和领用出库记录，扣0.5分。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仿宋_GB2312"/>
                <w:sz w:val="24"/>
                <w:szCs w:val="24"/>
              </w:rPr>
            </w:pPr>
            <w:r>
              <w:rPr>
                <w:rFonts w:ascii="Times New Roman" w:hAnsi="Times New Roman" w:eastAsia="仿宋_GB2312"/>
                <w:sz w:val="24"/>
                <w:szCs w:val="24"/>
              </w:rPr>
              <w:t>未开展出厂检验，或者检验记录不真实，扣0.5分。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企业自查发现风险但未按规定向辖区监管部门报告的，每发现一次，扣0.5分。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vMerge w:val="continue"/>
            <w:vAlign w:val="center"/>
          </w:tcPr>
          <w:p>
            <w:pPr>
              <w:keepNext/>
              <w:keepLines/>
              <w:spacing w:before="260" w:after="260" w:line="280" w:lineRule="exact"/>
              <w:jc w:val="left"/>
              <w:rPr>
                <w:rFonts w:ascii="Times New Roman" w:hAnsi="Times New Roman" w:eastAsia="仿宋_GB2312"/>
                <w:sz w:val="24"/>
                <w:szCs w:val="24"/>
              </w:rPr>
            </w:pPr>
          </w:p>
        </w:tc>
        <w:tc>
          <w:tcPr>
            <w:tcW w:w="5278" w:type="dxa"/>
            <w:tcBorders>
              <w:top w:val="single" w:color="auto" w:sz="6" w:space="0"/>
            </w:tcBorders>
            <w:vAlign w:val="center"/>
          </w:tcPr>
          <w:p>
            <w:pPr>
              <w:widowControl/>
              <w:spacing w:line="280" w:lineRule="exact"/>
              <w:rPr>
                <w:rFonts w:ascii="Times New Roman" w:hAnsi="Times New Roman" w:eastAsia="黑体"/>
                <w:sz w:val="24"/>
                <w:szCs w:val="24"/>
              </w:rPr>
            </w:pPr>
            <w:r>
              <w:rPr>
                <w:rFonts w:ascii="Times New Roman" w:hAnsi="Times New Roman" w:eastAsia="仿宋_GB2312"/>
                <w:sz w:val="24"/>
                <w:szCs w:val="24"/>
              </w:rPr>
              <w:t>对检查发现的问题，未查找原因或未严格落实整改措施，扣0.5分。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8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spacing w:line="280" w:lineRule="exact"/>
              <w:jc w:val="left"/>
              <w:rPr>
                <w:rFonts w:ascii="Times New Roman" w:hAnsi="Times New Roman" w:eastAsia="黑体"/>
                <w:sz w:val="24"/>
                <w:szCs w:val="24"/>
              </w:rPr>
            </w:pPr>
            <w:r>
              <w:rPr>
                <w:rFonts w:ascii="Times New Roman" w:hAnsi="Times New Roman" w:eastAsia="仿宋_GB2312"/>
                <w:sz w:val="24"/>
                <w:szCs w:val="24"/>
              </w:rPr>
              <w:t>（59）规模以上食品生产企业、婴幼儿配方乳粉生产企业实施良好生产规范、危害分析与关键控制点体系等管理体系，得3分；否则相应扣分。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未实施良好生产规范、危害分析与关键控制点体系等管理体系，每发现一次，扣0.5分。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restart"/>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21.产品追溯</w:t>
            </w:r>
          </w:p>
        </w:tc>
        <w:tc>
          <w:tcPr>
            <w:tcW w:w="3404" w:type="dxa"/>
            <w:vMerge w:val="restart"/>
            <w:tcBorders>
              <w:top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r>
              <w:rPr>
                <w:rFonts w:ascii="Times New Roman" w:hAnsi="Times New Roman" w:eastAsia="仿宋_GB2312"/>
                <w:sz w:val="24"/>
                <w:szCs w:val="24"/>
              </w:rPr>
              <w:t>（70）食品生产经营者建立健全食品安全追溯体系，确保记录真实完整，产品来源可查、去向可追，得5分；否则相应扣分。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企业未建立食品安全追溯体系的，每发现一次，扣1分。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pacing w:line="280" w:lineRule="exact"/>
              <w:jc w:val="center"/>
              <w:rPr>
                <w:rFonts w:ascii="Times New Roman" w:hAnsi="Times New Roman" w:eastAsia="仿宋_GB2312"/>
                <w:sz w:val="24"/>
                <w:szCs w:val="24"/>
              </w:rPr>
            </w:pPr>
          </w:p>
        </w:tc>
        <w:tc>
          <w:tcPr>
            <w:tcW w:w="3404" w:type="dxa"/>
            <w:vMerge w:val="continue"/>
            <w:vAlign w:val="center"/>
          </w:tcPr>
          <w:p>
            <w:pPr>
              <w:widowControl/>
              <w:adjustRightInd w:val="0"/>
              <w:snapToGrid w:val="0"/>
              <w:spacing w:line="280" w:lineRule="exact"/>
              <w:jc w:val="left"/>
              <w:rPr>
                <w:rFonts w:ascii="Times New Roman" w:hAnsi="Times New Roman" w:eastAsia="仿宋_GB2312"/>
                <w:sz w:val="24"/>
                <w:szCs w:val="24"/>
              </w:rPr>
            </w:pPr>
          </w:p>
        </w:tc>
        <w:tc>
          <w:tcPr>
            <w:tcW w:w="5278" w:type="dxa"/>
            <w:tcBorders>
              <w:top w:val="single" w:color="auto" w:sz="4"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企业食品安全追溯体系不健全，无法确保记录真实完整，产品来源可查、去向可追，每发现一次，扣0.5分。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spacing w:line="280" w:lineRule="exact"/>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spacing w:line="280" w:lineRule="exact"/>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spacing w:line="280" w:lineRule="exact"/>
              <w:jc w:val="left"/>
              <w:rPr>
                <w:rFonts w:ascii="Times New Roman" w:hAnsi="Times New Roman" w:eastAsia="仿宋_GB2312"/>
                <w:sz w:val="24"/>
                <w:szCs w:val="24"/>
              </w:rPr>
            </w:pPr>
            <w:r>
              <w:rPr>
                <w:rFonts w:ascii="Times New Roman" w:hAnsi="Times New Roman" w:eastAsia="仿宋_GB2312"/>
                <w:sz w:val="24"/>
                <w:szCs w:val="24"/>
              </w:rPr>
              <w:t>未开展诚信守法教育活动，无相关证明材料，每发现一次，扣0.5分。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2.“（22）持续加大乳制品、肉制品、白酒、食用植物油等大型食品生产企业风险防控力度”的具体要求：（1）创建城市每年都要把乳制品、肉制品、白酒、食用植物油等大型食品生产企业作为重点，加强风险防控工作。（2）每年都要针对上述重点食品大型生产企业，组织制定并落实相应的监管计划，结合实际动态调整风险清单、措施清单和责任清单，切实防范系统性食品安全风险。</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3.“（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5.“（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C9B12F7"/>
    <w:rsid w:val="330A4EA8"/>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黄小短</cp:lastModifiedBy>
  <dcterms:modified xsi:type="dcterms:W3CDTF">2022-01-21T07:19:12Z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949D40B8F0424EB4BD8DE592FC7D9B03</vt:lpwstr>
  </property>
</Properties>
</file>